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5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pic="http://schemas.openxmlformats.org/drawingml/2006/picture" xmlns:a14="http://schemas.microsoft.com/office/drawing/2010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1F0F7B" w:rsidR="009C268F" w:rsidP="006A194C" w:rsidRDefault="005A29F8">
      <w:pPr>
        <w:overflowPunct/>
        <w:adjustRightInd/>
        <w:jc w:val="center"/>
        <w:textAlignment w:val="auto"/>
      </w:pPr>
      <w:r w:rsidRPr="001F0F7B">
        <w:rPr>
          <w:noProof/>
          <w:lang w:eastAsia="cs-CZ" w:bidi="ar-SA"/>
        </w:rPr>
        <w:drawing>
          <wp:inline distT="0" distB="0" distL="0" distR="0">
            <wp:extent cx="1792605" cy="1241425"/>
            <wp:effectExtent l="0" t="0" r="0" b="0"/>
            <wp:docPr id="2" name="Picture 2" title="EESCLogo_C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2605" cy="124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F0F7B" w:rsidR="00F07B05">
        <w:rPr>
          <w:noProof/>
          <w:sz w:val="20"/>
          <w:lang w:eastAsia="cs-CZ" w:bidi="ar-SA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editId="78911A74" wp14:anchorId="268C89D9">
                <wp:simplePos x="0" y="0"/>
                <wp:positionH relativeFrom="page">
                  <wp:posOffset>6769100</wp:posOffset>
                </wp:positionH>
                <wp:positionV relativeFrom="page">
                  <wp:posOffset>10081260</wp:posOffset>
                </wp:positionV>
                <wp:extent cx="647700" cy="396240"/>
                <wp:effectExtent l="0" t="3810" r="3175" b="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Pr="006A76A8" w:rsidR="009C268F" w:rsidP="009C268F" w:rsidRDefault="009C26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268C89D9">
                <v:stroke joinstyle="miter"/>
                <v:path gradientshapeok="t" o:connecttype="rect"/>
              </v:shapetype>
              <v:shape id="Text Box 21" style="position:absolute;left:0;text-align:left;margin-left:533pt;margin-top:793.8pt;width:51pt;height:31.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o:allowincell="f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">
                <v:textbox>
                  <w:txbxContent>
                    <w:p w:rsidRPr="006A76A8" w:rsidR="009C268F" w:rsidP="009C268F" w:rsidRDefault="009C268F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</w:rPr>
                      </w:pPr>
                      <w:r>
                        <w:rPr>
                          <w:rFonts w:ascii="Arial" w:hAnsi="Arial"/>
                          <w:b/>
                          <w:bCs/>
                          <w:sz w:val="48"/>
                        </w:rPr>
                        <w:t>CS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Pr="001F0F7B" w:rsidR="009C268F" w:rsidP="006A194C" w:rsidRDefault="009C268F">
      <w:pPr>
        <w:overflowPunct/>
        <w:adjustRightInd/>
        <w:textAlignment w:val="auto"/>
      </w:pPr>
    </w:p>
    <w:p w:rsidRPr="001F0F7B" w:rsidR="00FC4F4E" w:rsidP="006A194C" w:rsidRDefault="00FC4F4E">
      <w:pPr>
        <w:overflowPunct/>
        <w:adjustRightInd/>
        <w:jc w:val="right"/>
        <w:textAlignment w:val="auto"/>
        <w:rPr>
          <w:b/>
        </w:rPr>
      </w:pPr>
      <w:r w:rsidRPr="001F0F7B">
        <w:rPr>
          <w:b/>
        </w:rPr>
        <w:t>TEN/723</w:t>
      </w:r>
    </w:p>
    <w:p w:rsidRPr="001F0F7B" w:rsidR="009B30AA" w:rsidP="006A194C" w:rsidRDefault="00FC4F4E">
      <w:pPr>
        <w:overflowPunct/>
        <w:adjustRightInd/>
        <w:jc w:val="right"/>
        <w:textAlignment w:val="auto"/>
      </w:pPr>
      <w:r w:rsidRPr="001F0F7B">
        <w:rPr>
          <w:b/>
        </w:rPr>
        <w:t>Renovační vlna pro Evropu</w:t>
      </w:r>
    </w:p>
    <w:p w:rsidRPr="001F0F7B" w:rsidR="008630EB" w:rsidP="006A194C" w:rsidRDefault="008630EB">
      <w:pPr>
        <w:overflowPunct/>
        <w:adjustRightInd/>
        <w:textAlignment w:val="auto"/>
      </w:pPr>
    </w:p>
    <w:p w:rsidRPr="001F0F7B" w:rsidR="008630EB" w:rsidP="006A194C" w:rsidRDefault="008630EB">
      <w:pPr>
        <w:overflowPunct/>
        <w:adjustRightInd/>
        <w:textAlignment w:val="auto"/>
      </w:pPr>
    </w:p>
    <w:p w:rsidRPr="001F0F7B" w:rsidR="005D1416" w:rsidP="006A194C" w:rsidRDefault="005C64B1">
      <w:pPr>
        <w:overflowPunct/>
        <w:adjustRightInd/>
        <w:jc w:val="center"/>
        <w:textAlignment w:val="auto"/>
        <w:rPr>
          <w:b/>
        </w:rPr>
      </w:pPr>
      <w:r w:rsidRPr="001F0F7B">
        <w:rPr>
          <w:b/>
          <w:sz w:val="28"/>
        </w:rPr>
        <w:t>STANOVISKO</w:t>
      </w:r>
      <w:r w:rsidRPr="001F0F7B">
        <w:rPr>
          <w:b/>
          <w:sz w:val="28"/>
        </w:rPr>
        <w:br/>
      </w:r>
      <w:r w:rsidRPr="001F0F7B">
        <w:rPr>
          <w:b/>
        </w:rPr>
        <w:br/>
      </w:r>
      <w:r w:rsidRPr="001F0F7B">
        <w:t>Evropského hospodářského a sociálního výboru</w:t>
      </w:r>
      <w:r w:rsidRPr="001F0F7B">
        <w:br/>
      </w:r>
      <w:r w:rsidRPr="001F0F7B">
        <w:rPr>
          <w:b/>
        </w:rPr>
        <w:br/>
        <w:t>Sdělení Komise Evropskému parlamentu, Radě, Evropskému hospodářskému a sociálnímu výboru a Výboru regionů</w:t>
      </w:r>
      <w:r w:rsidRPr="001F0F7B">
        <w:rPr>
          <w:b/>
        </w:rPr>
        <w:br/>
        <w:t>Renovační vlna pro Evropu – ekologické budovy, nová pracovní místa, lepší životní úroveň</w:t>
      </w:r>
    </w:p>
    <w:p w:rsidRPr="001F0F7B" w:rsidR="00646AC2" w:rsidP="006A194C" w:rsidRDefault="00FF3759">
      <w:pPr>
        <w:overflowPunct/>
        <w:adjustRightInd/>
        <w:jc w:val="center"/>
        <w:textAlignment w:val="auto"/>
      </w:pPr>
      <w:r w:rsidRPr="001F0F7B">
        <w:t>[</w:t>
      </w:r>
      <w:proofErr w:type="gramStart"/>
      <w:r w:rsidRPr="001F0F7B">
        <w:t>COM(2020</w:t>
      </w:r>
      <w:proofErr w:type="gramEnd"/>
      <w:r w:rsidRPr="001F0F7B">
        <w:t>) 662 final]</w:t>
      </w:r>
    </w:p>
    <w:p w:rsidRPr="001F0F7B" w:rsidR="009B30AA" w:rsidP="006A194C" w:rsidRDefault="009B30AA">
      <w:pPr>
        <w:overflowPunct/>
        <w:adjustRightInd/>
        <w:jc w:val="center"/>
        <w:textAlignment w:val="auto"/>
      </w:pPr>
    </w:p>
    <w:p w:rsidRPr="001F0F7B" w:rsidR="00704FBB" w:rsidP="006A194C" w:rsidRDefault="007F5E0D">
      <w:pPr>
        <w:overflowPunct/>
        <w:adjustRightInd/>
        <w:jc w:val="center"/>
        <w:textAlignment w:val="auto"/>
        <w:rPr>
          <w:b/>
        </w:rPr>
      </w:pPr>
      <w:r w:rsidRPr="001F0F7B">
        <w:t xml:space="preserve">Zpravodaj: </w:t>
      </w:r>
      <w:r w:rsidRPr="001F0F7B">
        <w:rPr>
          <w:b/>
        </w:rPr>
        <w:t>Pierre Jean COULON</w:t>
      </w:r>
    </w:p>
    <w:p w:rsidRPr="001F0F7B" w:rsidR="00FC4F4E" w:rsidP="006A194C" w:rsidRDefault="00FC4F4E">
      <w:pPr>
        <w:overflowPunct/>
        <w:adjustRightInd/>
        <w:jc w:val="center"/>
        <w:textAlignment w:val="auto"/>
        <w:rPr>
          <w:b/>
        </w:rPr>
      </w:pPr>
      <w:r w:rsidRPr="001F0F7B">
        <w:t xml:space="preserve">Spoluzpravodaj: </w:t>
      </w:r>
      <w:proofErr w:type="spellStart"/>
      <w:r w:rsidRPr="001F0F7B">
        <w:rPr>
          <w:b/>
        </w:rPr>
        <w:t>Aurel</w:t>
      </w:r>
      <w:proofErr w:type="spellEnd"/>
      <w:r w:rsidRPr="001F0F7B">
        <w:rPr>
          <w:b/>
        </w:rPr>
        <w:t xml:space="preserve"> </w:t>
      </w:r>
      <w:proofErr w:type="spellStart"/>
      <w:r w:rsidRPr="001F0F7B">
        <w:rPr>
          <w:b/>
        </w:rPr>
        <w:t>Laurențiu</w:t>
      </w:r>
      <w:proofErr w:type="spellEnd"/>
      <w:r w:rsidRPr="001F0F7B">
        <w:rPr>
          <w:b/>
        </w:rPr>
        <w:t xml:space="preserve"> PLOSCEANU</w:t>
      </w:r>
    </w:p>
    <w:p w:rsidRPr="001F0F7B" w:rsidR="00E32DC6" w:rsidP="006A194C" w:rsidRDefault="00E32DC6"/>
    <w:p w:rsidRPr="001F0F7B" w:rsidR="00E32DC6" w:rsidP="006A194C" w:rsidRDefault="00E32DC6"/>
    <w:p w:rsidRPr="001F0F7B" w:rsidR="00E32DC6" w:rsidP="006A194C" w:rsidRDefault="00E32DC6">
      <w:pPr>
        <w:sectPr w:rsidRPr="001F0F7B" w:rsidR="00E32DC6" w:rsidSect="006D22E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 w:code="9"/>
          <w:pgMar w:top="1418" w:right="1418" w:bottom="1418" w:left="1418" w:header="709" w:footer="709" w:gutter="0"/>
          <w:pgNumType w:start="1"/>
          <w:cols w:space="720"/>
          <w:docGrid w:linePitch="299"/>
        </w:sectPr>
      </w:pPr>
    </w:p>
    <w:tbl>
      <w:tblPr>
        <w:tblW w:w="9073" w:type="dxa"/>
        <w:tblLook w:val="04A0" w:firstRow="1" w:lastRow="0" w:firstColumn="1" w:lastColumn="0" w:noHBand="0" w:noVBand="1"/>
      </w:tblPr>
      <w:tblGrid>
        <w:gridCol w:w="3369"/>
        <w:gridCol w:w="5704"/>
      </w:tblGrid>
      <w:tr w:rsidRPr="001B2543" w:rsidR="0011656A" w:rsidTr="00476CB9">
        <w:tc>
          <w:tcPr>
            <w:tcW w:w="3369" w:type="dxa"/>
          </w:tcPr>
          <w:p w:rsidRPr="001B2543" w:rsidR="0011656A" w:rsidP="006A194C" w:rsidRDefault="0090053A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 w:rsidRPr="001F0F7B">
              <w:lastRenderedPageBreak/>
              <w:t xml:space="preserve">Žádost o vypracování stanoviska </w:t>
            </w:r>
          </w:p>
        </w:tc>
        <w:tc>
          <w:tcPr>
            <w:tcW w:w="5704" w:type="dxa"/>
          </w:tcPr>
          <w:p w:rsidRPr="001B2543" w:rsidR="0011656A" w:rsidP="006A194C" w:rsidRDefault="00540D07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 w:rsidRPr="001F0F7B">
              <w:t>Evropská komise, 11/11/2020</w:t>
            </w:r>
          </w:p>
        </w:tc>
      </w:tr>
      <w:tr w:rsidRPr="001B2543" w:rsidR="0016503F" w:rsidTr="00476CB9">
        <w:trPr>
          <w:trHeight w:val="251"/>
        </w:trPr>
        <w:tc>
          <w:tcPr>
            <w:tcW w:w="3369" w:type="dxa"/>
          </w:tcPr>
          <w:p w:rsidRPr="001B2543" w:rsidR="0016503F" w:rsidP="006A194C" w:rsidRDefault="0016503F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 w:rsidRPr="001F0F7B">
              <w:t>Právní základ</w:t>
            </w:r>
          </w:p>
        </w:tc>
        <w:tc>
          <w:tcPr>
            <w:tcW w:w="5704" w:type="dxa"/>
          </w:tcPr>
          <w:p w:rsidRPr="001B2543" w:rsidR="0016503F" w:rsidP="006A194C" w:rsidRDefault="0016503F">
            <w:pPr>
              <w:overflowPunct/>
              <w:adjustRightInd/>
              <w:textAlignment w:val="auto"/>
              <w:rPr>
                <w:szCs w:val="22"/>
              </w:rPr>
            </w:pPr>
            <w:r w:rsidRPr="001F0F7B">
              <w:t>článek 304 Smlouvy o fungování Evropské unie</w:t>
            </w:r>
          </w:p>
        </w:tc>
      </w:tr>
      <w:tr w:rsidRPr="001B2543" w:rsidR="00BA1290" w:rsidTr="00476CB9">
        <w:tc>
          <w:tcPr>
            <w:tcW w:w="3369" w:type="dxa"/>
          </w:tcPr>
          <w:p w:rsidRPr="001B2543" w:rsidR="00BA1290" w:rsidP="006A194C" w:rsidRDefault="00BA1290">
            <w:pPr>
              <w:overflowPunct/>
              <w:adjustRightInd/>
              <w:jc w:val="left"/>
              <w:textAlignment w:val="auto"/>
            </w:pPr>
          </w:p>
        </w:tc>
        <w:tc>
          <w:tcPr>
            <w:tcW w:w="5704" w:type="dxa"/>
          </w:tcPr>
          <w:p w:rsidRPr="001B2543" w:rsidR="00BA1290" w:rsidP="006A194C" w:rsidRDefault="00BA1290">
            <w:pPr>
              <w:overflowPunct/>
              <w:adjustRightInd/>
              <w:jc w:val="left"/>
              <w:textAlignment w:val="auto"/>
            </w:pPr>
          </w:p>
        </w:tc>
      </w:tr>
      <w:tr w:rsidRPr="001B2543" w:rsidR="00DF5B64" w:rsidTr="00476CB9">
        <w:tc>
          <w:tcPr>
            <w:tcW w:w="3369" w:type="dxa"/>
          </w:tcPr>
          <w:p w:rsidRPr="001B2543" w:rsidR="00DF5B64" w:rsidP="006A194C" w:rsidRDefault="00AD4B4F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 w:rsidRPr="001F0F7B">
              <w:t>Odpovědná sekce</w:t>
            </w:r>
          </w:p>
        </w:tc>
        <w:tc>
          <w:tcPr>
            <w:tcW w:w="5704" w:type="dxa"/>
          </w:tcPr>
          <w:p w:rsidRPr="001B2543" w:rsidR="00DF5B64" w:rsidP="006A194C" w:rsidRDefault="00D36954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 w:rsidRPr="001F0F7B">
              <w:t>Doprava, energetika, infrastruktura a informační společnost</w:t>
            </w:r>
          </w:p>
        </w:tc>
      </w:tr>
      <w:tr w:rsidRPr="001B2543" w:rsidR="00A156E6" w:rsidTr="00476CB9">
        <w:tc>
          <w:tcPr>
            <w:tcW w:w="3369" w:type="dxa"/>
          </w:tcPr>
          <w:p w:rsidRPr="001B2543" w:rsidR="00A156E6" w:rsidP="006A194C" w:rsidRDefault="00A156E6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 w:rsidRPr="001F0F7B">
              <w:t>Přijato v sekci</w:t>
            </w:r>
          </w:p>
        </w:tc>
        <w:tc>
          <w:tcPr>
            <w:tcW w:w="5704" w:type="dxa"/>
          </w:tcPr>
          <w:p w:rsidRPr="001B2543" w:rsidR="00A156E6" w:rsidP="006A194C" w:rsidRDefault="00540D07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 w:rsidRPr="001F0F7B">
              <w:t>11/02/2021</w:t>
            </w:r>
          </w:p>
        </w:tc>
      </w:tr>
      <w:tr w:rsidRPr="001B2543" w:rsidR="00A156E6" w:rsidTr="00476CB9">
        <w:tc>
          <w:tcPr>
            <w:tcW w:w="3369" w:type="dxa"/>
          </w:tcPr>
          <w:p w:rsidRPr="001B2543" w:rsidR="00A156E6" w:rsidP="006A194C" w:rsidRDefault="00A156E6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 w:rsidRPr="001F0F7B">
              <w:t>Přijato na plenárním zasedání</w:t>
            </w:r>
          </w:p>
        </w:tc>
        <w:tc>
          <w:tcPr>
            <w:tcW w:w="5704" w:type="dxa"/>
          </w:tcPr>
          <w:p w:rsidRPr="001B2543" w:rsidR="00A156E6" w:rsidP="006A194C" w:rsidRDefault="00466A19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 w:rsidRPr="001F0F7B">
              <w:t>24/02/2021</w:t>
            </w:r>
          </w:p>
        </w:tc>
      </w:tr>
      <w:tr w:rsidRPr="001B2543" w:rsidR="00BA1290" w:rsidTr="00476CB9">
        <w:tc>
          <w:tcPr>
            <w:tcW w:w="3369" w:type="dxa"/>
          </w:tcPr>
          <w:p w:rsidRPr="001B2543" w:rsidR="00BA1290" w:rsidP="006A194C" w:rsidRDefault="008053E9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 w:rsidRPr="001F0F7B">
              <w:t>Plenární zasedání č.</w:t>
            </w:r>
          </w:p>
        </w:tc>
        <w:tc>
          <w:tcPr>
            <w:tcW w:w="5704" w:type="dxa"/>
          </w:tcPr>
          <w:p w:rsidRPr="001B2543" w:rsidR="00BA1290" w:rsidP="006A194C" w:rsidRDefault="00466A19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 w:rsidRPr="001F0F7B">
              <w:t>558</w:t>
            </w:r>
          </w:p>
        </w:tc>
      </w:tr>
      <w:tr w:rsidRPr="001F0F7B" w:rsidR="00A156E6" w:rsidTr="00476CB9">
        <w:tc>
          <w:tcPr>
            <w:tcW w:w="3369" w:type="dxa"/>
          </w:tcPr>
          <w:p w:rsidRPr="001B2543" w:rsidR="00D423D4" w:rsidP="006A194C" w:rsidRDefault="0043024C">
            <w:pPr>
              <w:overflowPunct/>
              <w:adjustRightInd/>
              <w:jc w:val="left"/>
            </w:pPr>
            <w:r w:rsidRPr="001F0F7B">
              <w:t>Výsledek hlasování</w:t>
            </w:r>
            <w:r w:rsidRPr="001F0F7B">
              <w:br/>
              <w:t>(pro/proti/zdrželi se hlasování)</w:t>
            </w:r>
          </w:p>
        </w:tc>
        <w:tc>
          <w:tcPr>
            <w:tcW w:w="5704" w:type="dxa"/>
            <w:vAlign w:val="bottom"/>
          </w:tcPr>
          <w:p w:rsidRPr="001F0F7B" w:rsidR="00A156E6" w:rsidP="006A194C" w:rsidRDefault="00466A19">
            <w:pPr>
              <w:overflowPunct/>
              <w:adjustRightInd/>
              <w:jc w:val="left"/>
              <w:textAlignment w:val="auto"/>
              <w:rPr>
                <w:szCs w:val="22"/>
              </w:rPr>
            </w:pPr>
            <w:r w:rsidRPr="001F0F7B">
              <w:t>212/0/5</w:t>
            </w:r>
          </w:p>
        </w:tc>
      </w:tr>
    </w:tbl>
    <w:p w:rsidRPr="001F0F7B" w:rsidR="0090053A" w:rsidP="006A194C" w:rsidRDefault="0090053A">
      <w:pPr>
        <w:overflowPunct/>
        <w:adjustRightInd/>
        <w:textAlignment w:val="auto"/>
      </w:pPr>
    </w:p>
    <w:p w:rsidRPr="001F0F7B" w:rsidR="00646AC2" w:rsidP="006A194C" w:rsidRDefault="00646AC2">
      <w:pPr>
        <w:overflowPunct/>
        <w:adjustRightInd/>
        <w:textAlignment w:val="auto"/>
      </w:pPr>
      <w:r w:rsidRPr="001F0F7B">
        <w:br w:type="page"/>
      </w:r>
    </w:p>
    <w:p w:rsidRPr="001F0F7B" w:rsidR="00011D33" w:rsidP="006A194C" w:rsidRDefault="00011D33">
      <w:pPr>
        <w:pStyle w:val="Heading1"/>
        <w:keepNext/>
        <w:ind w:left="567" w:hanging="567"/>
        <w:rPr>
          <w:b/>
        </w:rPr>
      </w:pPr>
      <w:r w:rsidRPr="001F0F7B">
        <w:rPr>
          <w:b/>
        </w:rPr>
        <w:lastRenderedPageBreak/>
        <w:t>Závěry a doporučení</w:t>
      </w:r>
    </w:p>
    <w:p w:rsidRPr="001F0F7B" w:rsidR="00125CC8" w:rsidP="006A194C" w:rsidRDefault="00125CC8">
      <w:pPr>
        <w:keepNext/>
      </w:pPr>
    </w:p>
    <w:p w:rsidRPr="001F0F7B" w:rsidR="005C64B1" w:rsidP="006A194C" w:rsidRDefault="005C64B1">
      <w:pPr>
        <w:pStyle w:val="Heading2"/>
        <w:ind w:left="567" w:hanging="567"/>
      </w:pPr>
      <w:r w:rsidRPr="001F0F7B">
        <w:t>EHSV vítá, že Evropská komise přijala návrh evropské strategie s názvem „Renovační vlna pro Evropu – ekologické budovy, nová pracovní místa, lepší životní úroveň“. Taková strategie je pro Evropskou unii a její občany naprostou a nevyhnutelnou nutností a EHSV ji hodlá podporovat a</w:t>
      </w:r>
      <w:r w:rsidR="006D22E9">
        <w:t> </w:t>
      </w:r>
      <w:r w:rsidRPr="001F0F7B">
        <w:t>aktivně obohatit o své úvahy a návrhy.</w:t>
      </w:r>
    </w:p>
    <w:p w:rsidRPr="001F0F7B" w:rsidR="005C64B1" w:rsidP="006A194C" w:rsidRDefault="005C64B1"/>
    <w:p w:rsidRPr="001F0F7B" w:rsidR="005C64B1" w:rsidP="006A194C" w:rsidRDefault="005C64B1">
      <w:pPr>
        <w:pStyle w:val="Heading2"/>
        <w:ind w:left="567" w:hanging="567"/>
      </w:pPr>
      <w:r w:rsidRPr="001F0F7B">
        <w:t>EHSV se domnívá, že vzhledem k tomu, že na obytné a jiné budovy připadá 40 % celkové spotřeby energie v Evropské unii, musí tyto budovy projít touto renovační vlnou, k níž dala podnět Evropská unie, a to v rámci komplexního přístupu zahrnujícího dlouhodobé investice, obecný zájem, udržitelný rozvoj, ochranu zdraví včetně nakládání s azbestem v rámci těchto prací, ekologickou transformaci a účinné provádění evropského pilíře sociálních práv v oblasti udržitelného a cenově dostupného bydlení.</w:t>
      </w:r>
    </w:p>
    <w:p w:rsidRPr="001F0F7B" w:rsidR="005C64B1" w:rsidP="006A194C" w:rsidRDefault="005C64B1"/>
    <w:p w:rsidRPr="001F0F7B" w:rsidR="005C64B1" w:rsidP="006A194C" w:rsidRDefault="005C64B1">
      <w:pPr>
        <w:pStyle w:val="Heading2"/>
        <w:ind w:left="567" w:hanging="567"/>
      </w:pPr>
      <w:r w:rsidRPr="001F0F7B">
        <w:t>EHSV proto strategii týkající se renovační vlny podporuje, neboť jde o přístup, který bude mít na Evropskou unii hned trojí pozitivní dopad („</w:t>
      </w:r>
      <w:proofErr w:type="spellStart"/>
      <w:r w:rsidRPr="001F0F7B">
        <w:t>win-win-win</w:t>
      </w:r>
      <w:proofErr w:type="spellEnd"/>
      <w:r w:rsidRPr="001F0F7B">
        <w:t>“), a to v oblasti klimatu, v oblasti oživení díky vytvoření pracovních příležitostí na místní úrovni a také v oblasti boje proti pandemii a proti energetické chudobě a podpory cenově dostupného bydlení pro všechny, včetně zranitelných osob.</w:t>
      </w:r>
    </w:p>
    <w:p w:rsidRPr="001F0F7B" w:rsidR="005C64B1" w:rsidP="006A194C" w:rsidRDefault="005C64B1"/>
    <w:p w:rsidRPr="001F0F7B" w:rsidR="005C64B1" w:rsidP="006A194C" w:rsidRDefault="005C64B1">
      <w:pPr>
        <w:pStyle w:val="Heading2"/>
        <w:ind w:left="567" w:hanging="567"/>
      </w:pPr>
      <w:r w:rsidRPr="001F0F7B">
        <w:t>EHSV se domnívá, že tato strategie vzhledem ke svému zvláštnímu rozměru a orientaci do</w:t>
      </w:r>
      <w:r w:rsidRPr="001F0F7B" w:rsidR="00DE7D00">
        <w:t> </w:t>
      </w:r>
      <w:r w:rsidRPr="001F0F7B">
        <w:t>roku</w:t>
      </w:r>
      <w:r w:rsidRPr="001F0F7B" w:rsidR="00DE7D00">
        <w:t> </w:t>
      </w:r>
      <w:r w:rsidRPr="001F0F7B">
        <w:t>2050 vyžaduje, aby byl vytvořen stabilní, srozumitelný a vhodný právní a finanční rámec, a to jak prostřednictvím zřízení zvláštního evropského investičního fondu, provádění víceletých investičních plánů a zavedení nového „zeleného semestru“, tak i vytvořením vlastního odpovídajícího právního rámce, například v oblasti státní podpory, příslušných sazeb DPH, veřejných zakázek, „zelených“ hypotečních úvěrů a norem v oblasti energetické náročnosti.</w:t>
      </w:r>
    </w:p>
    <w:p w:rsidRPr="001F0F7B" w:rsidR="005C64B1" w:rsidP="006A194C" w:rsidRDefault="005C64B1"/>
    <w:p w:rsidRPr="001F0F7B" w:rsidR="005C64B1" w:rsidP="006A194C" w:rsidRDefault="005C64B1">
      <w:pPr>
        <w:pStyle w:val="Heading2"/>
        <w:ind w:left="567" w:hanging="567"/>
      </w:pPr>
      <w:r w:rsidRPr="001F0F7B">
        <w:t>EHSV vyzývá Komisi, aby zavedla pobídky pro vytváření klastrů na místní úrovni, které by zajišťovaly industrializaci procesů tepelné renovace a jejich hromadné využívání, a současně aby vytvořila nový „Erasmus pro tepelnou renovaci do roku 2050“, který by přilákal mladé Evropany k těmto novým pracovním místům budoucnosti.</w:t>
      </w:r>
    </w:p>
    <w:p w:rsidRPr="001F0F7B" w:rsidR="005C64B1" w:rsidP="006A194C" w:rsidRDefault="005C64B1"/>
    <w:p w:rsidRPr="001F0F7B" w:rsidR="005C64B1" w:rsidP="006A194C" w:rsidRDefault="005C64B1">
      <w:pPr>
        <w:pStyle w:val="Heading2"/>
        <w:ind w:left="567" w:hanging="567"/>
      </w:pPr>
      <w:r w:rsidRPr="001F0F7B">
        <w:t>EHSV rovněž požaduje, aby byly členské státy podobně jako v případě programu ELENA Evropské investiční banky nabádány ke zřízení veřejných služeb v oblasti diagnostiky, technické podpory a poradenství, zejména pro domácnosti, a zabránily tak jakýmkoli nekalým praktikám v</w:t>
      </w:r>
      <w:r w:rsidR="006D22E9">
        <w:t> </w:t>
      </w:r>
      <w:r w:rsidRPr="001F0F7B">
        <w:t xml:space="preserve">podobě podomního prodeje či podvodů v souvislosti s nástroji podpory pro tepelnou renovaci. </w:t>
      </w:r>
    </w:p>
    <w:p w:rsidRPr="001F0F7B" w:rsidR="005C64B1" w:rsidP="006A194C" w:rsidRDefault="005C64B1"/>
    <w:p w:rsidRPr="001F0F7B" w:rsidR="00125CC8" w:rsidP="006A194C" w:rsidRDefault="005C64B1">
      <w:pPr>
        <w:pStyle w:val="Heading2"/>
        <w:ind w:left="567" w:hanging="567"/>
      </w:pPr>
      <w:r w:rsidRPr="001F0F7B">
        <w:t xml:space="preserve">EHSV se především domnívá, že tato strategie musí umožnit Evropské unii přiblížit se občanům a jejich regionům, a to prostřednictvím vhodné komunikace o vytvořených nástrojích </w:t>
      </w:r>
      <w:r w:rsidRPr="001F0F7B" w:rsidR="00476CB9">
        <w:t>a </w:t>
      </w:r>
      <w:r w:rsidRPr="001F0F7B">
        <w:t>možnostech přístupu k nim.</w:t>
      </w:r>
    </w:p>
    <w:p w:rsidRPr="001F0F7B" w:rsidR="006C6582" w:rsidP="006A194C" w:rsidRDefault="006C6582"/>
    <w:p w:rsidRPr="001F0F7B" w:rsidR="006C6582" w:rsidP="006A194C" w:rsidRDefault="006C6582">
      <w:pPr>
        <w:pStyle w:val="Heading2"/>
        <w:ind w:left="567" w:hanging="567"/>
      </w:pPr>
      <w:r w:rsidRPr="001F0F7B">
        <w:t xml:space="preserve">EHSV požaduje skutečnou součinnost mezi Střediskem pro sledování fondu budov </w:t>
      </w:r>
      <w:r w:rsidRPr="001F0F7B" w:rsidR="00476CB9">
        <w:t>a </w:t>
      </w:r>
      <w:r w:rsidRPr="001F0F7B">
        <w:t>Střediskem</w:t>
      </w:r>
      <w:r w:rsidR="006D22E9">
        <w:t> </w:t>
      </w:r>
      <w:r w:rsidRPr="001F0F7B">
        <w:t>pro sledování energetické chudoby.</w:t>
      </w:r>
    </w:p>
    <w:p w:rsidRPr="001F0F7B" w:rsidR="00125CC8" w:rsidP="006A194C" w:rsidRDefault="00125CC8"/>
    <w:p w:rsidRPr="001F0F7B" w:rsidR="00C14E0D" w:rsidP="006A194C" w:rsidRDefault="00C14E0D">
      <w:pPr>
        <w:pStyle w:val="Heading1"/>
        <w:keepNext/>
        <w:ind w:left="567" w:hanging="567"/>
        <w:rPr>
          <w:b/>
        </w:rPr>
      </w:pPr>
      <w:r w:rsidRPr="001F0F7B">
        <w:rPr>
          <w:b/>
        </w:rPr>
        <w:lastRenderedPageBreak/>
        <w:t>Obecné připomínky</w:t>
      </w:r>
    </w:p>
    <w:p w:rsidRPr="001F0F7B" w:rsidR="00C14E0D" w:rsidP="006A194C" w:rsidRDefault="00C14E0D">
      <w:pPr>
        <w:keepNext/>
      </w:pPr>
    </w:p>
    <w:p w:rsidRPr="001F0F7B" w:rsidR="003E102C" w:rsidP="006A194C" w:rsidRDefault="003E102C">
      <w:pPr>
        <w:pStyle w:val="Heading2"/>
        <w:keepNext/>
        <w:ind w:left="567" w:hanging="567"/>
      </w:pPr>
      <w:r w:rsidRPr="001F0F7B">
        <w:t xml:space="preserve">EHSV vítá, že Evropská komise přijala sdělení „Renovační vlna pro Evropu – ekologické budovy, nová pracovní místa, lepší životní úroveň“. Vzhledem ke strukturálnímu nedostatku dlouhodobých investic v této oblasti a klimatickým, environmentálním, hospodářským </w:t>
      </w:r>
      <w:r w:rsidRPr="001F0F7B" w:rsidR="00476CB9">
        <w:t>a </w:t>
      </w:r>
      <w:r w:rsidRPr="001F0F7B">
        <w:t xml:space="preserve">sociálním důsledkům v případě nečinnosti je rozsáhlá renovace budov v Evropské unii – soukromých a sociálních bytů, veřejných budov a administrativních a komerčních budov – </w:t>
      </w:r>
      <w:r w:rsidRPr="001F0F7B" w:rsidR="00476CB9">
        <w:t>v </w:t>
      </w:r>
      <w:r w:rsidRPr="001F0F7B">
        <w:t>současné době naprosto nezbytná.</w:t>
      </w:r>
    </w:p>
    <w:p w:rsidRPr="001F0F7B" w:rsidR="003E102C" w:rsidP="006A194C" w:rsidRDefault="003E102C"/>
    <w:p w:rsidRPr="001F0F7B" w:rsidR="003E102C" w:rsidP="006A194C" w:rsidRDefault="003E102C">
      <w:pPr>
        <w:pStyle w:val="Heading2"/>
        <w:ind w:left="567" w:hanging="567"/>
      </w:pPr>
      <w:r w:rsidRPr="001F0F7B">
        <w:t xml:space="preserve">Výbor podporuje tuto strategii. </w:t>
      </w:r>
      <w:proofErr w:type="gramStart"/>
      <w:r w:rsidRPr="001F0F7B">
        <w:t>kterou</w:t>
      </w:r>
      <w:proofErr w:type="gramEnd"/>
      <w:r w:rsidRPr="001F0F7B">
        <w:t xml:space="preserve"> navrhla Komise s cílem dosáhnout klimatické neutrality, uplatňovat zásady oběhovosti, přispět k cílům udržitelného rozvoje a konkurenceschopnosti Evropy, zachovat kulturní dědictví a především chránit právo každého člověka na cenově dostupné, pohodlné, přístupné a zdravé bydlení v souladu se zásadou 19 evropského pilíře sociálních práv.</w:t>
      </w:r>
    </w:p>
    <w:p w:rsidRPr="001F0F7B" w:rsidR="003E102C" w:rsidP="006A194C" w:rsidRDefault="003E102C"/>
    <w:p w:rsidRPr="001F0F7B" w:rsidR="003E102C" w:rsidP="006A194C" w:rsidRDefault="003E102C">
      <w:pPr>
        <w:pStyle w:val="Heading2"/>
        <w:ind w:left="567" w:hanging="567"/>
      </w:pPr>
      <w:r w:rsidRPr="001F0F7B">
        <w:t xml:space="preserve">Vzhledem k tomu, že na obytné a jiné budovy připadá 40 % celkové spotřeby energie </w:t>
      </w:r>
      <w:r w:rsidRPr="001F0F7B" w:rsidR="00476CB9">
        <w:t>v </w:t>
      </w:r>
      <w:r w:rsidRPr="001F0F7B">
        <w:t>Evropské unii, musí projít renovační vlnou, a to v rámci komplexního přístupu zahrnujícího dlouhodobé investice, obecný zájem, udržitelný rozvoj a ekologickou transformaci.</w:t>
      </w:r>
    </w:p>
    <w:p w:rsidRPr="001F0F7B" w:rsidR="003E102C" w:rsidP="006A194C" w:rsidRDefault="003E102C"/>
    <w:p w:rsidRPr="001F0F7B" w:rsidR="003E102C" w:rsidP="006A194C" w:rsidRDefault="003E102C">
      <w:pPr>
        <w:pStyle w:val="Heading2"/>
        <w:ind w:left="567" w:hanging="567"/>
      </w:pPr>
      <w:r w:rsidRPr="001F0F7B">
        <w:t>Pandemie mimo jiné poukázala na zásadní význam bydlení při zvládání zdravotní krize a na potřebu přehodnotit jeho využívání, a tedy i jeho podobu, s ohledem na omezení volného pohybu osob.</w:t>
      </w:r>
    </w:p>
    <w:p w:rsidRPr="001F0F7B" w:rsidR="003E102C" w:rsidP="006A194C" w:rsidRDefault="003E102C"/>
    <w:p w:rsidRPr="001F0F7B" w:rsidR="003E102C" w:rsidP="006A194C" w:rsidRDefault="003E102C">
      <w:pPr>
        <w:pStyle w:val="Heading2"/>
        <w:ind w:left="567" w:hanging="567"/>
      </w:pPr>
      <w:r w:rsidRPr="001F0F7B">
        <w:t>Především však během pandemie vyšla najevo nepřijatelná souvislost mezi hygienickými podmínkami bydlení, energetickou chudobou a odolností vůči pandemii.</w:t>
      </w:r>
    </w:p>
    <w:p w:rsidRPr="001F0F7B" w:rsidR="003E102C" w:rsidP="006A194C" w:rsidRDefault="003E102C"/>
    <w:p w:rsidRPr="001F0F7B" w:rsidR="003E102C" w:rsidP="006A194C" w:rsidRDefault="003E102C">
      <w:pPr>
        <w:pStyle w:val="Heading2"/>
        <w:ind w:left="567" w:hanging="567"/>
      </w:pPr>
      <w:r w:rsidRPr="001F0F7B">
        <w:t xml:space="preserve">Strategie týkající se vlny renovací budov tedy představuje přístup, který bude mít hned trojí pozitivní dopad, a to díky významu svého účinného přínosu k boji proti změně klimatu, objemu dlouhodobých investic a řadě pracovních příležitostí na místní úrovni, které tak mohou vzniknout a jež mohou aktivně přispět k oživení, jakož i díky boji proti energetické chudobě </w:t>
      </w:r>
      <w:r w:rsidRPr="001F0F7B" w:rsidR="00476CB9">
        <w:t>a </w:t>
      </w:r>
      <w:r w:rsidRPr="001F0F7B">
        <w:t>podpoře sociální soudržnosti a začleňování prostřednictvím rozvoje nabídky dostupného bydlení pro občany Evropské unie.</w:t>
      </w:r>
    </w:p>
    <w:p w:rsidRPr="001F0F7B" w:rsidR="003E102C" w:rsidP="006A194C" w:rsidRDefault="003E102C"/>
    <w:p w:rsidRPr="001F0F7B" w:rsidR="005C64B1" w:rsidP="006A194C" w:rsidRDefault="003E102C">
      <w:pPr>
        <w:pStyle w:val="Heading2"/>
        <w:ind w:left="567" w:hanging="567"/>
      </w:pPr>
      <w:r w:rsidRPr="001F0F7B">
        <w:t>Vlnu renovací budov proto musí podporovat trvalé a sbližující se stimuly, a to jak v oblasti právních předpisů a podpory Evropské unie, tak i v oblasti víceletých investičních plánů členských států. Ty musí být srozumitelné a dostupné a zároveň musí zohledňovat různorodost jednotlivých subjektů a jejich vlastní investiční logiku, počínaje evropskými domácnostmi obývajícími vlastní obydlí, ať už v plném vlastnictví nebo ve spoluvlastnictví, přes domácnosti pronajímající jeden nebo více bytů na trhu, subjekty poskytující sociální bydlení, na něž se vztahují zvláštní úkoly obecného zájmu a z nich vyplývající závazky veřejné služby, až po veřejné orgány a jejich veřejné budovy, chráněné historické budovy či podniky a jejich budovy. Všechny tyto potenciální „surfaře“ na renovační vlně bude třeba přesvědčit, aby do roku</w:t>
      </w:r>
      <w:r w:rsidRPr="001F0F7B" w:rsidR="00DE7D00">
        <w:t> </w:t>
      </w:r>
      <w:r w:rsidRPr="001F0F7B">
        <w:t xml:space="preserve">2050 dlouhodobě investovali do svých domů a jiných budov prostřednictvím mechanismů financování přizpůsobených povaze budov, které budou kombinovat dlouhodobé půjčky nebo „zelené úvěry“, veřejné záruky a nezbytné nevratné dotace, zejména pro domácnosti. </w:t>
      </w:r>
    </w:p>
    <w:p w:rsidRPr="001F0F7B" w:rsidR="005C64B1" w:rsidP="006A194C" w:rsidRDefault="005C64B1"/>
    <w:p w:rsidRPr="001F0F7B" w:rsidR="003E102C" w:rsidP="006A194C" w:rsidRDefault="005C64B1">
      <w:pPr>
        <w:pStyle w:val="Heading2"/>
        <w:ind w:left="567" w:hanging="567"/>
      </w:pPr>
      <w:r w:rsidRPr="001F0F7B">
        <w:lastRenderedPageBreak/>
        <w:t xml:space="preserve">Podpora vlny renovací budov bude muset vycházet především z evropského úsilí </w:t>
      </w:r>
      <w:r w:rsidRPr="001F0F7B" w:rsidR="00476CB9">
        <w:t>o </w:t>
      </w:r>
      <w:r w:rsidRPr="001F0F7B">
        <w:t>industrializaci a hromadného provádění renovací na místní úrovni, aby se tak snížily náklady na renovaci a</w:t>
      </w:r>
      <w:r w:rsidR="006D22E9">
        <w:t> </w:t>
      </w:r>
      <w:r w:rsidRPr="001F0F7B">
        <w:t xml:space="preserve">zkrátila doba potřebná k provedení prací pro domácnosti obývající daná obydlí, </w:t>
      </w:r>
      <w:r w:rsidRPr="001F0F7B" w:rsidR="00476CB9">
        <w:t>a </w:t>
      </w:r>
      <w:r w:rsidRPr="001F0F7B">
        <w:t>to</w:t>
      </w:r>
      <w:r w:rsidR="006D22E9">
        <w:t> </w:t>
      </w:r>
      <w:r w:rsidRPr="001F0F7B">
        <w:t>prostřednictvím outsourcingu procesů a jejich digitalizace. Tuto industrializaci budou muset doplnit nové způsoby stavby založené na upravených technických požadavcích a stavebních normách, a především ji bude muset provázet evropská kampaň na podporu tohoto nového odvětví a těchto potenciálních nových pracovních příležitostí u mladších generací, a to v podobě programu „Erasmus pro tepelnou renovaci do roku 2050“, jehož vytvoření by Výbor uvítal. Zvláštní pozornost je třeba věnovat také nebezpečí sociálního dumpingu, který v případě tohoto outsourcingu a dalších způsobů zajištění práce formou subdodávek hrozí.</w:t>
      </w:r>
    </w:p>
    <w:p w:rsidRPr="001F0F7B" w:rsidR="00F35DC5" w:rsidP="006A194C" w:rsidRDefault="00F35DC5"/>
    <w:p w:rsidRPr="001F0F7B" w:rsidR="003E102C" w:rsidP="006A194C" w:rsidRDefault="003E102C">
      <w:pPr>
        <w:pStyle w:val="Heading2"/>
        <w:ind w:left="567" w:hanging="567"/>
      </w:pPr>
      <w:r w:rsidRPr="001F0F7B">
        <w:t>Komise musí zajistit sbližování stávajících ustanovení a zároveň ustanovení, která mají být revidována, a návrhů nových ustanovení, a to nejen s ohledem na členské státy a jejich dlouhodobé investiční strategie, ale také s ohledem na domácnosti, poskytovatele sociálního bydlení, veřejné orgány a podniky, což jsou všechno subjekty, které přijímají konečná rozhodnutí o jednotlivých dlouhodobých investicích a jež se do renovační vlny zapojí ze svých vlastních důvodů do roku 2050.</w:t>
      </w:r>
    </w:p>
    <w:p w:rsidRPr="001F0F7B" w:rsidR="003E102C" w:rsidP="006A194C" w:rsidRDefault="003E102C"/>
    <w:p w:rsidRPr="001F0F7B" w:rsidR="003E102C" w:rsidP="006A194C" w:rsidRDefault="003E102C">
      <w:pPr>
        <w:pStyle w:val="Heading2"/>
        <w:ind w:left="567" w:hanging="567"/>
      </w:pPr>
      <w:r w:rsidRPr="001F0F7B">
        <w:t xml:space="preserve">Toto nutné sbližování se týká revize stávajících ustanovení v této oblasti, například pokud jde </w:t>
      </w:r>
      <w:r w:rsidRPr="001F0F7B" w:rsidR="00476CB9">
        <w:t>o </w:t>
      </w:r>
      <w:r w:rsidRPr="001F0F7B">
        <w:t xml:space="preserve">směrnici o energetické náročnosti budov, veřejné zakázky nebo platné režimy státní podpory, zejména v oblasti sociálního bydlení, uplatnitelnou příslušnou zvláštní sazbu DPH, „zelený“ hypoteční úvěr, ale také ustanovení a podmínek uvedených v evropském plánu na podporu oživení Next Generation EU a politice soudržnosti na období 2021–2027, které musí být pro cílové evropské domácnosti srozumitelné. Plánu na podporu oživení je zapotřebí dát nový impuls prostřednictvím skutečné politiky založené na konkrétních návrzích a doporučeních </w:t>
      </w:r>
      <w:r w:rsidRPr="001F0F7B" w:rsidR="00476CB9">
        <w:t>a </w:t>
      </w:r>
      <w:r w:rsidRPr="001F0F7B">
        <w:t>také pomocí koordinace stávajících národních středisek pro sledování.</w:t>
      </w:r>
    </w:p>
    <w:p w:rsidRPr="001F0F7B" w:rsidR="003E102C" w:rsidP="006A194C" w:rsidRDefault="003E102C"/>
    <w:p w:rsidRPr="001F0F7B" w:rsidR="00011D33" w:rsidP="006A194C" w:rsidRDefault="00DA25A8">
      <w:pPr>
        <w:pStyle w:val="Heading2"/>
        <w:ind w:left="567" w:hanging="567"/>
      </w:pPr>
      <w:r w:rsidRPr="001F0F7B">
        <w:t>Výbor žádá, aby Evropské středisko pro sledování fondu budov účinně spolupracovalo se Střediskem pro sledování energetické chudoby.</w:t>
      </w:r>
    </w:p>
    <w:p w:rsidRPr="001F0F7B" w:rsidR="00DF4FFD" w:rsidP="006A194C" w:rsidRDefault="00DF4FFD"/>
    <w:p w:rsidRPr="001F0F7B" w:rsidR="004438F6" w:rsidP="006A194C" w:rsidRDefault="004438F6">
      <w:pPr>
        <w:pStyle w:val="Heading2"/>
        <w:ind w:left="567" w:hanging="567"/>
      </w:pPr>
      <w:r w:rsidRPr="001F0F7B">
        <w:t xml:space="preserve">Výbor žádá, aby byla v členských státech zřízena veřejná služba na podporu vlny tepelné renovace, diagnostiky a technické pomoci při projektech tepelné renovace, určená zejména pro domácnosti, aby zamezilo se tak jakýmkoliv nekalým obchodním praktikám, pokud jde </w:t>
      </w:r>
      <w:r w:rsidRPr="001F0F7B" w:rsidR="00476CB9">
        <w:t>o </w:t>
      </w:r>
      <w:r w:rsidRPr="001F0F7B">
        <w:t>renovační práce.</w:t>
      </w:r>
    </w:p>
    <w:p w:rsidRPr="001F0F7B" w:rsidR="00011D33" w:rsidP="006A194C" w:rsidRDefault="00011D33"/>
    <w:p w:rsidRPr="001F0F7B" w:rsidR="003E102C" w:rsidP="006A194C" w:rsidRDefault="00011D33">
      <w:pPr>
        <w:pStyle w:val="Heading1"/>
        <w:keepNext/>
        <w:keepLines/>
        <w:ind w:left="567" w:hanging="567"/>
        <w:rPr>
          <w:b/>
        </w:rPr>
      </w:pPr>
      <w:r w:rsidRPr="001F0F7B">
        <w:rPr>
          <w:b/>
        </w:rPr>
        <w:t>Připomínky – Podpora renovace budov v zájmu klimatické neutrality a oživení</w:t>
      </w:r>
    </w:p>
    <w:p w:rsidRPr="001F0F7B" w:rsidR="00DF4FFD" w:rsidP="006A194C" w:rsidRDefault="00DF4FFD">
      <w:pPr>
        <w:keepNext/>
        <w:keepLines/>
      </w:pPr>
    </w:p>
    <w:p w:rsidRPr="001F0F7B" w:rsidR="003E102C" w:rsidP="006A194C" w:rsidRDefault="006E4060">
      <w:pPr>
        <w:pStyle w:val="Heading2"/>
        <w:ind w:left="567" w:hanging="567"/>
      </w:pPr>
      <w:r w:rsidRPr="001F0F7B">
        <w:t xml:space="preserve">Vzhledem ke strukturálnímu nedostatku dlouhodobých investic v této oblasti a klimatickým, environmentálním, hospodářským a sociálním důsledkům je rozsáhlá renovace budov </w:t>
      </w:r>
      <w:r w:rsidRPr="001F0F7B" w:rsidR="00476CB9">
        <w:t>v </w:t>
      </w:r>
      <w:r w:rsidRPr="001F0F7B">
        <w:t xml:space="preserve">Evropské unii – soukromých a sociálních bytů, veřejných budov a administrativních </w:t>
      </w:r>
      <w:r w:rsidRPr="001F0F7B" w:rsidR="00476CB9">
        <w:t>a </w:t>
      </w:r>
      <w:r w:rsidRPr="001F0F7B">
        <w:t>komerčních budov – v současné době naprosto nezbytná.</w:t>
      </w:r>
    </w:p>
    <w:p w:rsidRPr="001F0F7B" w:rsidR="00DF4FFD" w:rsidP="006A194C" w:rsidRDefault="00DF4FFD"/>
    <w:p w:rsidRPr="001F0F7B" w:rsidR="0070321D" w:rsidP="006A194C" w:rsidRDefault="00C60847">
      <w:pPr>
        <w:pStyle w:val="Heading2"/>
        <w:keepNext/>
        <w:keepLines/>
        <w:ind w:left="567" w:hanging="567"/>
      </w:pPr>
      <w:r w:rsidRPr="001F0F7B">
        <w:lastRenderedPageBreak/>
        <w:t>Výbor souhlasí s názorem Komise, že vzhledem k naléhavé situaci v oblasti klimatu je nutné začít renovovat obytné a další budovy a že je zapotřebí využít krizi způsobenou pandemií COVID-19 k tomu, abychom přehodnotili, přepracovali a modernizovali naše budovy, a zaujali tak přístup, jenž bude přínosný z hlediska ekologického, sociálního i hospodářského. Jedná se skutečně o</w:t>
      </w:r>
      <w:r w:rsidR="006D22E9">
        <w:t> </w:t>
      </w:r>
      <w:r w:rsidRPr="001F0F7B">
        <w:t>jedine</w:t>
      </w:r>
      <w:r w:rsidRPr="001F0F7B" w:rsidR="002D25F1">
        <w:t xml:space="preserve">čnou příležitost, jak podpořit </w:t>
      </w:r>
      <w:r w:rsidRPr="001F0F7B">
        <w:t xml:space="preserve">klimatickou neutralitu, oživení i sociální soudržnost. </w:t>
      </w:r>
    </w:p>
    <w:p w:rsidRPr="001F0F7B" w:rsidR="002F0EE4" w:rsidP="006A194C" w:rsidRDefault="002F0EE4">
      <w:pPr>
        <w:pStyle w:val="Heading2"/>
        <w:numPr>
          <w:ilvl w:val="0"/>
          <w:numId w:val="0"/>
        </w:numPr>
        <w:ind w:left="567"/>
      </w:pPr>
    </w:p>
    <w:p w:rsidRPr="001F0F7B" w:rsidR="0070321D" w:rsidP="006A194C" w:rsidRDefault="0070321D">
      <w:pPr>
        <w:pStyle w:val="Heading2"/>
        <w:numPr>
          <w:ilvl w:val="0"/>
          <w:numId w:val="0"/>
        </w:numPr>
        <w:ind w:left="567"/>
      </w:pPr>
      <w:r w:rsidRPr="001F0F7B">
        <w:t>Výbor by rád upozornil na různorodost dotčených budov, a zejména na různorodost obydlí určených k renovaci, od rodinných domů až po velké panelové domy postavené v dobách Sovětského svazu nebo na chudých předměstích. V rámci této velké různorodosti bydlení mohou východoevropské panelové domy, velmi staré domy v podhodnocených městských centrech, příměstské a venkovské bydlení představovat zvláštní prioritu. Vzhledem k tomu, že bytový fond zastaral a je zapotřebí jej renovovat, aby tak došlo jak ke zlepšení kvality života občanů, tak i</w:t>
      </w:r>
      <w:r w:rsidR="006D22E9">
        <w:t> </w:t>
      </w:r>
      <w:r w:rsidRPr="001F0F7B">
        <w:t>k</w:t>
      </w:r>
      <w:r w:rsidR="006D22E9">
        <w:t> </w:t>
      </w:r>
      <w:r w:rsidRPr="001F0F7B">
        <w:t xml:space="preserve">technickému pokroku z hlediska budov, je nezbytné zajistit občanům přístup </w:t>
      </w:r>
      <w:r w:rsidRPr="001F0F7B" w:rsidR="00476CB9">
        <w:t>k </w:t>
      </w:r>
      <w:r w:rsidRPr="001F0F7B">
        <w:t xml:space="preserve">financování, neboť to je v současné době hlavní překážkou pro renovaci. Stejně tak bude zapotřebí vzít v potaz přístupnost pro osoby se zdravotním postižením. Evropská unie musí využít této rozsáhlé akce také k tomu, aby se prostřednictvím vhodné komunikace přiblížila </w:t>
      </w:r>
      <w:r w:rsidRPr="001F0F7B" w:rsidR="00476CB9">
        <w:t>k </w:t>
      </w:r>
      <w:proofErr w:type="gramStart"/>
      <w:r w:rsidRPr="001F0F7B">
        <w:t>občanů</w:t>
      </w:r>
      <w:proofErr w:type="gramEnd"/>
      <w:r w:rsidRPr="001F0F7B">
        <w:t xml:space="preserve"> a jejich regionům.</w:t>
      </w:r>
    </w:p>
    <w:p w:rsidRPr="001F0F7B" w:rsidR="0070321D" w:rsidP="006A194C" w:rsidRDefault="0070321D"/>
    <w:p w:rsidRPr="001F0F7B" w:rsidR="003E102C" w:rsidP="006A194C" w:rsidRDefault="003E102C">
      <w:pPr>
        <w:pStyle w:val="Heading2"/>
        <w:ind w:left="567" w:hanging="567"/>
      </w:pPr>
      <w:r w:rsidRPr="001F0F7B">
        <w:t>Výbor podporuje navrhovaný cíl zdvojnásobit do roku 2030 roční tempo energetické renovace obytných a jiných budov a současně podpořit rozsáhlé renovace, tj. 35 milionů bytových jednotek do roku 2030, a zároveň se domnívá, že toto tempo je zapotřebí udržet, aby se do roku</w:t>
      </w:r>
      <w:r w:rsidRPr="001F0F7B" w:rsidR="00DE7D00">
        <w:t> </w:t>
      </w:r>
      <w:r w:rsidRPr="001F0F7B">
        <w:t>2050 dosáhlo klimatické neutrality v celé EU. V ideálním případě by mělo být možné toto zdvojnásobení překonat a dosáhnout takřka ztrojnásobení.</w:t>
      </w:r>
    </w:p>
    <w:p w:rsidRPr="001F0F7B" w:rsidR="003E102C" w:rsidP="006A194C" w:rsidRDefault="003E102C">
      <w:pPr>
        <w:ind w:left="720" w:hanging="720"/>
      </w:pPr>
    </w:p>
    <w:p w:rsidRPr="001F0F7B" w:rsidR="003E102C" w:rsidP="006A194C" w:rsidRDefault="003E102C">
      <w:pPr>
        <w:pStyle w:val="Heading2"/>
        <w:ind w:left="567" w:hanging="567"/>
      </w:pPr>
      <w:r w:rsidRPr="001F0F7B">
        <w:t xml:space="preserve">Výbor zdůrazňuje, že tento cíle je ambiciózní a představuje prognózu na 30 let a také, že je nutné důkladně sladit stávající legislativní a regulační opatření v této oblasti a mechanismy finanční podpory pro dotčené domácnosti, poskytovatele sociálního bydlení, veřejné orgány </w:t>
      </w:r>
      <w:r w:rsidRPr="001F0F7B" w:rsidR="00476CB9">
        <w:t>a </w:t>
      </w:r>
      <w:r w:rsidRPr="001F0F7B">
        <w:t>další vlastníky dotčených budov, což jsou všichni potenciální investoři, které je nutné přesvědčit, aby dlouhodobě investovali dle vlastního přesvědčení a vlastních možností. Je to patrné z úsilí členských států a jejich regionálních řídících orgánů, které se snaží provázat nástroje na podporu oživení Next Generation EU a politiku soudržnosti na období 2021–2027.</w:t>
      </w:r>
    </w:p>
    <w:p w:rsidRPr="001F0F7B" w:rsidR="003E102C" w:rsidP="006A194C" w:rsidRDefault="003E102C"/>
    <w:p w:rsidRPr="001F0F7B" w:rsidR="009D1E10" w:rsidP="006A194C" w:rsidRDefault="009D1E10">
      <w:pPr>
        <w:pStyle w:val="Heading1"/>
        <w:keepNext/>
        <w:keepLines/>
        <w:ind w:left="567" w:hanging="567"/>
        <w:rPr>
          <w:b/>
        </w:rPr>
      </w:pPr>
      <w:r w:rsidRPr="001F0F7B">
        <w:rPr>
          <w:b/>
        </w:rPr>
        <w:t>Připomínky – Hlavní zásady renovace budov do roku 2030 a 2050</w:t>
      </w:r>
    </w:p>
    <w:p w:rsidRPr="001F0F7B" w:rsidR="009D1E10" w:rsidP="006A194C" w:rsidRDefault="009D1E10">
      <w:pPr>
        <w:keepNext/>
        <w:keepLines/>
      </w:pPr>
    </w:p>
    <w:p w:rsidRPr="001F0F7B" w:rsidR="009D1E10" w:rsidP="006A194C" w:rsidRDefault="009D1E10">
      <w:pPr>
        <w:pStyle w:val="Heading2"/>
        <w:ind w:left="567" w:hanging="567"/>
      </w:pPr>
      <w:r w:rsidRPr="001F0F7B">
        <w:t xml:space="preserve">Výbor souhlasí s tím, že je nutné přijmout komplexní a integrovanou strategii zahrnující příslušné aktéry, a to na základě sedmi zásad: prvořadost energetické účinnosti, cenová dostupnost, dekarbonizace a integrace obnovitelných zdrojů energie, životní cykly a oběhovost, přísné zdravotní a environmentální normy, výzvy v oblasti ekologické a digitální transformace </w:t>
      </w:r>
      <w:r w:rsidRPr="001F0F7B" w:rsidR="00476CB9">
        <w:t>a </w:t>
      </w:r>
      <w:r w:rsidRPr="001F0F7B">
        <w:t>respektování estetické a architektonické kvality.</w:t>
      </w:r>
    </w:p>
    <w:p w:rsidRPr="001F0F7B" w:rsidR="009D1E10" w:rsidP="006A194C" w:rsidRDefault="009D1E10">
      <w:pPr>
        <w:ind w:left="720" w:hanging="720"/>
      </w:pPr>
    </w:p>
    <w:p w:rsidRPr="001F0F7B" w:rsidR="009D1E10" w:rsidP="006A194C" w:rsidRDefault="009D1E10">
      <w:pPr>
        <w:pStyle w:val="Heading2"/>
        <w:keepNext/>
        <w:keepLines/>
        <w:ind w:left="567" w:hanging="567"/>
      </w:pPr>
      <w:r w:rsidRPr="001F0F7B">
        <w:lastRenderedPageBreak/>
        <w:t>Výbor by rád zdůraznil, že v souladu se zásadou 19 evropského pilíře sociálních práv je třeba přikládat zvláštní význam cenové dostupnosti bydlení a investicím, které musí uskutečnit dotčené domácnosti, ať už se jedná o vlastníky bytů a domů, kteří v nich bydlí, nájemníky nebo spoluvlastníky bytů a domů ve špatném stavu, zejména při odstraňování energetických nedostatků budov a boji proti energetické chudobě, ale také pokud jde o poskytovatele sociálního bydlení, výše jehož nájemného spadá do závazků veřejné služby z hlediska finanční dostupnosti, které byly uloženy v souladu se zvláštními úkoly služby veřejného zájmu stanovenými členskými státy.</w:t>
      </w:r>
    </w:p>
    <w:p w:rsidRPr="001F0F7B" w:rsidR="001248F2" w:rsidP="006A194C" w:rsidRDefault="001248F2"/>
    <w:p w:rsidRPr="001F0F7B" w:rsidR="00FD0E86" w:rsidP="006A194C" w:rsidRDefault="00FD0E86">
      <w:pPr>
        <w:pStyle w:val="Heading2"/>
        <w:ind w:left="567" w:hanging="567"/>
      </w:pPr>
      <w:r w:rsidRPr="001F0F7B">
        <w:t xml:space="preserve">EHSV poukazuje na to, že izolace dutých stěn a podlah představuje vůbec nejjednodušší </w:t>
      </w:r>
      <w:r w:rsidRPr="001F0F7B" w:rsidR="00476CB9">
        <w:t>a </w:t>
      </w:r>
      <w:r w:rsidRPr="001F0F7B">
        <w:t>nejméně nákladný způsob, jak snížit emise CO</w:t>
      </w:r>
      <w:r w:rsidRPr="001F0F7B">
        <w:rPr>
          <w:vertAlign w:val="subscript"/>
        </w:rPr>
        <w:t>2</w:t>
      </w:r>
      <w:r w:rsidRPr="001F0F7B">
        <w:t xml:space="preserve">. I tato poměrně levná opatření jsou však pro mnoho majitelů domů stále příliš drahá, a to i přesto, že vedou k nižším nákladům na energii. EHSV proto doporučuje, aby vlády členských států zavedly systém dotací na tato opatření. </w:t>
      </w:r>
      <w:r w:rsidRPr="001F0F7B" w:rsidR="00476CB9">
        <w:t>Z </w:t>
      </w:r>
      <w:r w:rsidRPr="001F0F7B">
        <w:t>výpočtů provedených v Nizozemsku vyplývá, že k realizaci těchto opatření stačí dotace ve výši 2 000 EUR na bytovou jednotku. Kromě výrazného snížení emisí CO</w:t>
      </w:r>
      <w:r w:rsidRPr="001F0F7B">
        <w:rPr>
          <w:vertAlign w:val="subscript"/>
        </w:rPr>
        <w:t>2</w:t>
      </w:r>
      <w:r w:rsidRPr="001F0F7B">
        <w:t xml:space="preserve"> vede tento systém rovněž k vytvoření značného počtu pracovních míst ve stavebnictví, na které těžce doléhá pandemie COVID-19. Je tomu tak i ve Francii, a to díky nedávnému zavedení dotace na tepelnou renovaci obydlí „</w:t>
      </w:r>
      <w:proofErr w:type="spellStart"/>
      <w:r w:rsidRPr="001F0F7B">
        <w:t>MaPrimeRenov</w:t>
      </w:r>
      <w:proofErr w:type="spellEnd"/>
      <w:r w:rsidRPr="001F0F7B">
        <w:t>“ pro všechny domácností.</w:t>
      </w:r>
    </w:p>
    <w:p w:rsidRPr="001F0F7B" w:rsidR="0026545C" w:rsidP="006A194C" w:rsidRDefault="0026545C"/>
    <w:p w:rsidRPr="001F0F7B" w:rsidR="00FD0E86" w:rsidP="006A194C" w:rsidRDefault="006A0285">
      <w:pPr>
        <w:pStyle w:val="Heading2"/>
        <w:ind w:left="567" w:hanging="567"/>
      </w:pPr>
      <w:r w:rsidRPr="001F0F7B">
        <w:t xml:space="preserve">Dále je zapotřebí se řídit závěry a doporučeními uvedenými ve stanovisku EHSV Práce </w:t>
      </w:r>
      <w:r w:rsidRPr="001F0F7B" w:rsidR="00476CB9">
        <w:t>s </w:t>
      </w:r>
      <w:r w:rsidRPr="001F0F7B">
        <w:t>azbestem při energetické renovaci s cílem podpořit odstraňování azbestu během energetické renovace všude tam, kde je to potřebné a možné</w:t>
      </w:r>
      <w:r w:rsidRPr="001F0F7B" w:rsidR="0070321D">
        <w:rPr>
          <w:rStyle w:val="FootnoteReference"/>
        </w:rPr>
        <w:footnoteReference w:id="1"/>
      </w:r>
      <w:r w:rsidRPr="001F0F7B">
        <w:t>.</w:t>
      </w:r>
    </w:p>
    <w:p w:rsidRPr="001F0F7B" w:rsidR="009D1E10" w:rsidP="006A194C" w:rsidRDefault="009D1E10">
      <w:pPr>
        <w:ind w:left="720" w:hanging="720"/>
      </w:pPr>
    </w:p>
    <w:p w:rsidRPr="001F0F7B" w:rsidR="009D1E10" w:rsidP="006A194C" w:rsidRDefault="009D1E10">
      <w:pPr>
        <w:pStyle w:val="Heading1"/>
        <w:keepNext/>
        <w:keepLines/>
        <w:ind w:left="567" w:hanging="567"/>
        <w:rPr>
          <w:b/>
        </w:rPr>
      </w:pPr>
      <w:r w:rsidRPr="001F0F7B">
        <w:rPr>
          <w:b/>
        </w:rPr>
        <w:t>Připomínky – Rychlejší a rozsáhlejší renovace v zájmu kvalitnějších budov</w:t>
      </w:r>
    </w:p>
    <w:p w:rsidRPr="001F0F7B" w:rsidR="009D1E10" w:rsidP="006A194C" w:rsidRDefault="009D1E10">
      <w:pPr>
        <w:keepNext/>
        <w:keepLines/>
        <w:ind w:left="720" w:hanging="720"/>
      </w:pPr>
    </w:p>
    <w:p w:rsidRPr="001F0F7B" w:rsidR="009D1E10" w:rsidP="006A194C" w:rsidRDefault="009D1E10">
      <w:pPr>
        <w:pStyle w:val="Heading2"/>
        <w:ind w:left="567" w:hanging="567"/>
      </w:pPr>
      <w:r w:rsidRPr="001F0F7B">
        <w:t xml:space="preserve">Výbor souhlasí s názorem Komise, pokud jde o řadu překážek, jež ztěžují jednotlivá investiční rozhodnutí, a složitý přístup k financování, zejména na místní úrovni, přičemž tato složitost se týká jak vnitrostátních ustanovení, tak i strukturálních fondů, především ve fázi posuzování projektů, ale souvisí také se zpožděním při vyplácení podpory. Tuto složitost a nefunkčnost je třeba řešit co nejdříve, aby bylo možné dosáhnout stanovených cílů, a to i v souvislosti </w:t>
      </w:r>
      <w:r w:rsidRPr="001F0F7B" w:rsidR="00476CB9">
        <w:t>s </w:t>
      </w:r>
      <w:r w:rsidRPr="001F0F7B">
        <w:t>prováděním ustanovení týkajících se politiky soudržnosti na období 2021–2027 od roku 2021.</w:t>
      </w:r>
    </w:p>
    <w:p w:rsidRPr="001F0F7B" w:rsidR="009D1E10" w:rsidP="006A194C" w:rsidRDefault="009D1E10">
      <w:pPr>
        <w:ind w:left="720" w:hanging="720"/>
      </w:pPr>
    </w:p>
    <w:p w:rsidRPr="001F0F7B" w:rsidR="009D1E10" w:rsidP="006A194C" w:rsidRDefault="009D1E10">
      <w:pPr>
        <w:pStyle w:val="Heading2"/>
        <w:ind w:left="567" w:hanging="567"/>
      </w:pPr>
      <w:r w:rsidRPr="001F0F7B">
        <w:t>Výbor konstatuje, že Komise v rámci veřejné konzultace tyto překážky odhalila, a bere na vědomí návrhy týkající se posílení informovanosti, právní jistoty a investičních pobídek, zajištění dostatečného a správně zaměřeného financování, kapacity pro přípravu a provádění projektů, podpory komplexní a integrované renovace, přizpůsobení ekosystému, aby umožňoval udržitelné renovace, a konečně využití renovace jako nástroje k řešení problému energetické chudoby a na podporu cenově dostupného bydlení prostřednictvím zvláštní evropské iniciativy. Tyto návrhy musí být prováděny v souladu se zásadou jednoduchosti, předem stanovené kombinace dodatečného financování uvolněného veřejnými orgány a přiměřenosti kontrol státní podpory.</w:t>
      </w:r>
    </w:p>
    <w:p w:rsidRPr="001F0F7B" w:rsidR="009D1E10" w:rsidP="006A194C" w:rsidRDefault="009D1E10">
      <w:pPr>
        <w:ind w:left="720" w:hanging="720"/>
      </w:pPr>
    </w:p>
    <w:p w:rsidRPr="001F0F7B" w:rsidR="009D1E10" w:rsidP="006A194C" w:rsidRDefault="009D1E10">
      <w:pPr>
        <w:pStyle w:val="Heading2"/>
        <w:keepLines/>
        <w:ind w:left="567" w:hanging="567"/>
      </w:pPr>
      <w:r w:rsidRPr="001F0F7B">
        <w:lastRenderedPageBreak/>
        <w:t>Výbor souhlasí s návrhem Komise pověřit Evropské středisko pro sledování fondu budov správou evropského úložiště údajů o energetické náročnosti a vítá, že Komise podpoří koncepci pobídek v této oblasti. Toto Středisko bude muset spolupracovat se Střediskem pro sledování energetické chudoby, jehož činnost je zapotřebí při této příležitosti zintenzívnit.</w:t>
      </w:r>
    </w:p>
    <w:p w:rsidRPr="001F0F7B" w:rsidR="009D1E10" w:rsidP="006A194C" w:rsidRDefault="009D1E10">
      <w:pPr>
        <w:ind w:left="720" w:hanging="720"/>
      </w:pPr>
    </w:p>
    <w:p w:rsidRPr="001F0F7B" w:rsidR="009D1E10" w:rsidP="006A194C" w:rsidRDefault="009D1E10">
      <w:pPr>
        <w:pStyle w:val="Heading2"/>
        <w:ind w:left="567" w:hanging="567"/>
      </w:pPr>
      <w:r w:rsidRPr="001F0F7B">
        <w:t>Výbor uznává, že se v současné době nacházíme ve velmi zvláštní situaci, pokud jde o možnou mobilizaci evropských zdrojů na tepelnou renovaci, a to jak v rámci nástroje na podporu oživení Next Generation EU, tak i politiky soudržnosti na období 2021–2027. Existuje nejméně 13</w:t>
      </w:r>
      <w:r w:rsidRPr="001F0F7B" w:rsidR="00DE7D00">
        <w:t> </w:t>
      </w:r>
      <w:r w:rsidRPr="001F0F7B">
        <w:t>programů, které mohou přispět ke spolufinancování tepelné renovace, ať už prostřednictvím nevratných grantů, nebo prostřednictvím zvýhodněných dlouhodobých půjček a veřejných záruk.</w:t>
      </w:r>
    </w:p>
    <w:p w:rsidRPr="001F0F7B" w:rsidR="009D1E10" w:rsidP="006A194C" w:rsidRDefault="009D1E10">
      <w:pPr>
        <w:ind w:left="720" w:hanging="720"/>
      </w:pPr>
    </w:p>
    <w:p w:rsidRPr="001F0F7B" w:rsidR="009D1E10" w:rsidP="006A194C" w:rsidRDefault="009D1E10">
      <w:pPr>
        <w:pStyle w:val="Heading2"/>
        <w:ind w:left="567" w:hanging="567"/>
      </w:pPr>
      <w:r w:rsidRPr="001F0F7B">
        <w:t xml:space="preserve">Výbor se domnívá, že tato výjimečná situace by měla vést Evropskou unii k tomu, aby kromě stanovení kvantitativních cílů pro renovaci podpořila členské státy a jejich roční investiční programy v oblasti tepelné renovace a zajistila také každoroční hodnocení těchto programů </w:t>
      </w:r>
      <w:r w:rsidRPr="001F0F7B" w:rsidR="00476CB9">
        <w:t>v </w:t>
      </w:r>
      <w:r w:rsidRPr="001F0F7B">
        <w:t>rámci evropského semestru, a to zavedením vlastní „zelené správy“, jež by doplňovala správu ekonomických záležitostí, nebo na základě otevřené metody koordinace.</w:t>
      </w:r>
    </w:p>
    <w:p w:rsidRPr="001F0F7B" w:rsidR="009D1E10" w:rsidP="006A194C" w:rsidRDefault="009D1E10">
      <w:pPr>
        <w:ind w:left="720" w:hanging="720"/>
      </w:pPr>
    </w:p>
    <w:p w:rsidRPr="001F0F7B" w:rsidR="009D1E10" w:rsidP="006A194C" w:rsidRDefault="009D1E10">
      <w:pPr>
        <w:pStyle w:val="Heading2"/>
        <w:ind w:left="567" w:hanging="567"/>
      </w:pPr>
      <w:r w:rsidRPr="001F0F7B">
        <w:t>Výbor se domnívá, že tato jedinečná situace by měla být využita také k boji proti energetické chudobě a k jejímu vymýcení tím, že se stane prioritou při mobilizaci finančních prostředků. Je třeba posílit působnost Evropského střediska pro sledování energetické chudoby, které by mělo stát v čele evropské sítě středisek pro sledování energetické chudoby jednotlivých členských států.</w:t>
      </w:r>
    </w:p>
    <w:p w:rsidRPr="001F0F7B" w:rsidR="009D1E10" w:rsidP="006A194C" w:rsidRDefault="009D1E10">
      <w:pPr>
        <w:ind w:left="720" w:hanging="720"/>
      </w:pPr>
    </w:p>
    <w:p w:rsidRPr="001F0F7B" w:rsidR="009D1E10" w:rsidP="006A194C" w:rsidRDefault="009D1E10">
      <w:pPr>
        <w:pStyle w:val="Heading2"/>
        <w:ind w:left="567" w:hanging="567"/>
      </w:pPr>
      <w:r w:rsidRPr="001F0F7B">
        <w:t xml:space="preserve">Výbor by však rád Komisi upozornil na to, že pro případné investory, zejména domácností </w:t>
      </w:r>
      <w:r w:rsidRPr="001F0F7B" w:rsidR="00476CB9">
        <w:t>a </w:t>
      </w:r>
      <w:r w:rsidRPr="001F0F7B">
        <w:t xml:space="preserve">poskytovatelů sociálního bydlení, je složité kombinovat tyto různé způsoby financování </w:t>
      </w:r>
      <w:r w:rsidRPr="001F0F7B" w:rsidR="00476CB9">
        <w:t>a </w:t>
      </w:r>
      <w:r w:rsidRPr="001F0F7B">
        <w:t xml:space="preserve">sladit je s různými předpisy, způsobilými daňovými základy a příslušnými kontrolami. </w:t>
      </w:r>
      <w:r w:rsidRPr="001F0F7B" w:rsidR="00476CB9">
        <w:t>S </w:t>
      </w:r>
      <w:r w:rsidRPr="001F0F7B">
        <w:t>ohledem na plán do roku 2050 by tato opatření měla být sjednocena, aby byla srozumitelnější a přístupnější pro cílové domácnosti a veřejné orgány.</w:t>
      </w:r>
    </w:p>
    <w:p w:rsidRPr="001F0F7B" w:rsidR="009D1E10" w:rsidP="006A194C" w:rsidRDefault="009D1E10">
      <w:pPr>
        <w:ind w:left="720" w:hanging="720"/>
      </w:pPr>
    </w:p>
    <w:p w:rsidRPr="001F0F7B" w:rsidR="009D1E10" w:rsidP="006A194C" w:rsidRDefault="009D1E10">
      <w:pPr>
        <w:pStyle w:val="Heading2"/>
        <w:ind w:left="567" w:hanging="567"/>
      </w:pPr>
      <w:r w:rsidRPr="001F0F7B">
        <w:t>Výbor s ohledem na délku trvání investic a na cíl do roku 2050 navrhuje, aby Komise v zájmu zjednodušení a srozumitelnosti pro dotčené evropské domácnosti posoudila možnost zřídit zvláštní investiční fond Evropské investiční banky (EIB), který by poskytoval technickou pomoc, kombinoval stávajících me</w:t>
      </w:r>
      <w:r w:rsidRPr="001F0F7B" w:rsidR="002D25F1">
        <w:t xml:space="preserve">chanismy i zajistil kontinuitu </w:t>
      </w:r>
      <w:r w:rsidRPr="001F0F7B">
        <w:t>činnosti Komise do roku</w:t>
      </w:r>
      <w:r w:rsidRPr="001F0F7B" w:rsidR="00DE7D00">
        <w:t> </w:t>
      </w:r>
      <w:r w:rsidRPr="001F0F7B">
        <w:t>2050.</w:t>
      </w:r>
    </w:p>
    <w:p w:rsidRPr="001F0F7B" w:rsidR="009D1E10" w:rsidP="006A194C" w:rsidRDefault="009D1E10">
      <w:pPr>
        <w:ind w:left="720" w:hanging="720"/>
      </w:pPr>
    </w:p>
    <w:p w:rsidRPr="001F0F7B" w:rsidR="004061B8" w:rsidP="006A194C" w:rsidRDefault="009D1E10">
      <w:pPr>
        <w:pStyle w:val="Heading2"/>
        <w:ind w:left="567" w:hanging="567"/>
      </w:pPr>
      <w:r w:rsidRPr="001F0F7B">
        <w:t>Výbor v této souvislosti podporuje záměr Komise revidovat režimy státní podpory vztahující se na investice do tepelné renovace. Tyto režimy státní podpory tepelné renovace musí být zjednodušeny, aby vzhledem k jejich naprosté nezbytnosti nepředstavovaly překážku pro investiční rozhodnutí. Výbor rovněž vítá rozhodnutí Komise provést v roce 2021 hodnocení rozhodnutí 2012/21/EU o státní podpoře ve formě vyrovnávací platby za závazek veřejné služby. Podpora tepelné renovace sociálního bydlení totiž spadá do režimu platného pro plnění závazků veřejné služby.</w:t>
      </w:r>
    </w:p>
    <w:p w:rsidRPr="001F0F7B" w:rsidR="009D1E10" w:rsidP="006A194C" w:rsidRDefault="009D1E10">
      <w:pPr>
        <w:ind w:left="720" w:hanging="720"/>
      </w:pPr>
    </w:p>
    <w:p w:rsidRPr="001F0F7B" w:rsidR="009D1E10" w:rsidP="006A194C" w:rsidRDefault="009D1E10">
      <w:pPr>
        <w:pStyle w:val="Heading2"/>
        <w:keepNext/>
        <w:keepLines/>
        <w:ind w:left="567" w:hanging="567"/>
      </w:pPr>
      <w:r w:rsidRPr="001F0F7B">
        <w:lastRenderedPageBreak/>
        <w:t>Výbor podporuje návrh Komise zahájit evropskou iniciativu v oblasti cenově dostupného bydlení tím, že bude financováno 100 stěžejních inovativních a participativních projektů zaměřených na komplexní renovaci čtvrtí sociálního bydlení, které mají sloužit jako vzor pro rozsáhlý rozvoj v</w:t>
      </w:r>
      <w:r w:rsidR="006D22E9">
        <w:t> </w:t>
      </w:r>
      <w:r w:rsidRPr="001F0F7B">
        <w:t>Evropské unii. Vzhledem ke schopnosti poskytovatelů sociálního bydlení investovat do kvality služeb obecného hospodářského zájmu a s podporou EIB vede hromadné provádění renovací a</w:t>
      </w:r>
      <w:r w:rsidR="006D22E9">
        <w:t> </w:t>
      </w:r>
      <w:bookmarkStart w:name="_GoBack" w:id="0"/>
      <w:bookmarkEnd w:id="0"/>
      <w:r w:rsidRPr="001F0F7B">
        <w:t xml:space="preserve">industrializace programů renovace budov nejen k vytváření pracovních příležitostí na místní </w:t>
      </w:r>
      <w:proofErr w:type="gramStart"/>
      <w:r w:rsidRPr="001F0F7B">
        <w:t>úrovní</w:t>
      </w:r>
      <w:proofErr w:type="gramEnd"/>
      <w:r w:rsidRPr="001F0F7B">
        <w:t xml:space="preserve">, ale také ke snížení nákladů na renovaci ostatních obytných </w:t>
      </w:r>
      <w:r w:rsidRPr="001F0F7B" w:rsidR="00476CB9">
        <w:t>a </w:t>
      </w:r>
      <w:r w:rsidRPr="001F0F7B">
        <w:t>veřejných budov prostřednictvím vytváření nových místních průmyslových odvětví.</w:t>
      </w:r>
    </w:p>
    <w:p w:rsidRPr="001F0F7B" w:rsidR="009D1E10" w:rsidP="006A194C" w:rsidRDefault="009D1E10">
      <w:pPr>
        <w:ind w:left="720" w:hanging="720"/>
      </w:pPr>
    </w:p>
    <w:p w:rsidRPr="001F0F7B" w:rsidR="00C37553" w:rsidP="006A194C" w:rsidRDefault="009D1E10">
      <w:pPr>
        <w:pStyle w:val="Heading2"/>
        <w:ind w:left="567" w:hanging="567"/>
      </w:pPr>
      <w:r w:rsidRPr="001F0F7B">
        <w:t xml:space="preserve">Výbor navrhuje, aby Komise na základě zkušeností s evropskou energetickou pomocí na místní úrovni (ELENA) a s podporou EIB nabádala členské státy k tomu, aby zřídily službu veřejné technické podpory při provádění tepelné renovace, zejména pro dotčené domácnosti, a zabránily tak nekalým praktikám v podobě podomního prodeje či podvodů, které již byly v souvislosti </w:t>
      </w:r>
      <w:r w:rsidRPr="001F0F7B" w:rsidR="00476CB9">
        <w:t>s </w:t>
      </w:r>
      <w:r w:rsidRPr="001F0F7B">
        <w:t>pracemi na tepelné renovaci zaznamenány v některých členských státech.</w:t>
      </w:r>
    </w:p>
    <w:p w:rsidRPr="001F0F7B" w:rsidR="009D1E10" w:rsidP="006A194C" w:rsidRDefault="009D1E10">
      <w:pPr>
        <w:ind w:left="720" w:hanging="720"/>
      </w:pPr>
    </w:p>
    <w:p w:rsidRPr="001F0F7B" w:rsidR="00FD0E86" w:rsidP="006A194C" w:rsidRDefault="009D1E10">
      <w:pPr>
        <w:pStyle w:val="Heading2"/>
        <w:keepNext/>
        <w:ind w:left="567" w:hanging="567"/>
      </w:pPr>
      <w:r w:rsidRPr="001F0F7B">
        <w:t xml:space="preserve">Výbor plně podporuje iniciativu nový evropský </w:t>
      </w:r>
      <w:proofErr w:type="spellStart"/>
      <w:r w:rsidRPr="001F0F7B">
        <w:t>Bauhaus</w:t>
      </w:r>
      <w:proofErr w:type="spellEnd"/>
      <w:r w:rsidRPr="001F0F7B">
        <w:t>, kterou ve svém projevu o stavu Unie oznámila předsedkyně Komise Ursula von der Leyen a jež byla dále propracována v podobě sdělení, neboť svede dohromady odborníky z různých oborů, aby se zamysleli nad tím, jak by do budoucna měly vypadat budovy, a nabídli nový pohled na to, jak v budoucnu zajistit udržitelný způsob života. Výbor vyzývá všechny zúčastněné strany, aby se zapojily do veřejné konzultace, kterou zahájila Komise.</w:t>
      </w:r>
    </w:p>
    <w:p w:rsidRPr="001F0F7B" w:rsidR="009D1E10" w:rsidP="006A194C" w:rsidRDefault="009D1E10"/>
    <w:p w:rsidRPr="001F0F7B" w:rsidR="00540D07" w:rsidP="006A194C" w:rsidRDefault="00540D07">
      <w:r w:rsidRPr="001F0F7B">
        <w:t xml:space="preserve">V Bruselu dne </w:t>
      </w:r>
      <w:r w:rsidRPr="001F0F7B" w:rsidR="00E75B1C">
        <w:t>24. února</w:t>
      </w:r>
      <w:r w:rsidRPr="001F0F7B">
        <w:t xml:space="preserve"> 2021</w:t>
      </w:r>
    </w:p>
    <w:p w:rsidRPr="001F0F7B" w:rsidR="00540D07" w:rsidP="006A194C" w:rsidRDefault="00540D07"/>
    <w:p w:rsidRPr="001F0F7B" w:rsidR="00540D07" w:rsidP="006A194C" w:rsidRDefault="00540D07"/>
    <w:p w:rsidRPr="001F0F7B" w:rsidR="00540D07" w:rsidP="006A194C" w:rsidRDefault="00540D07"/>
    <w:p w:rsidRPr="001F0F7B" w:rsidR="00366D88" w:rsidP="006A194C" w:rsidRDefault="00366D88"/>
    <w:p w:rsidRPr="001F0F7B" w:rsidR="00366D88" w:rsidP="006A194C" w:rsidRDefault="00366D88">
      <w:pPr>
        <w:jc w:val="left"/>
      </w:pPr>
      <w:r w:rsidRPr="001F0F7B">
        <w:t>Christa SCHWENG</w:t>
      </w:r>
      <w:r w:rsidRPr="001F0F7B">
        <w:br/>
        <w:t>předsedkyně Evropského hospodářského a sociálního výboru</w:t>
      </w:r>
    </w:p>
    <w:p w:rsidRPr="001F0F7B" w:rsidR="00540D07" w:rsidP="006A194C" w:rsidRDefault="00540D07"/>
    <w:p w:rsidRPr="001F0F7B" w:rsidR="00646AC2" w:rsidP="006A194C" w:rsidRDefault="00646AC2">
      <w:pPr>
        <w:overflowPunct/>
        <w:adjustRightInd/>
        <w:jc w:val="center"/>
        <w:textAlignment w:val="auto"/>
      </w:pPr>
      <w:r w:rsidRPr="001F0F7B">
        <w:t>_____________</w:t>
      </w:r>
    </w:p>
    <w:sectPr w:rsidRPr="001F0F7B" w:rsidR="00646AC2" w:rsidSect="001F0F7B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39" w:code="9"/>
      <w:pgMar w:top="1418" w:right="1418" w:bottom="1418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8D5" w:rsidRDefault="006E78D5">
      <w:r>
        <w:separator/>
      </w:r>
    </w:p>
  </w:endnote>
  <w:endnote w:type="continuationSeparator" w:id="0">
    <w:p w:rsidR="006E78D5" w:rsidRDefault="006E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23B" w:rsidRPr="001F0F7B" w:rsidRDefault="00A3523B" w:rsidP="001F0F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2DC6" w:rsidRPr="001F0F7B" w:rsidRDefault="001F0F7B" w:rsidP="001F0F7B">
    <w:pPr>
      <w:pStyle w:val="Footer"/>
    </w:pPr>
    <w:r>
      <w:t xml:space="preserve">TEN/723 – EESC-2020-04884-00-01-AC-TRA (FR) </w:t>
    </w:r>
    <w:r>
      <w:fldChar w:fldCharType="begin"/>
    </w:r>
    <w:r>
      <w:instrText xml:space="preserve"> PAGE  \* Arabic  \* MERGEFORMAT </w:instrText>
    </w:r>
    <w:r>
      <w:fldChar w:fldCharType="separate"/>
    </w:r>
    <w:r w:rsidR="006D22E9"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 w:rsidR="006D22E9">
        <w:rPr>
          <w:noProof/>
        </w:rPr>
        <w:instrText>9</w:instrText>
      </w:r>
    </w:fldSimple>
    <w:r>
      <w:instrText xml:space="preserve"> -0 </w:instrText>
    </w:r>
    <w:r>
      <w:fldChar w:fldCharType="separate"/>
    </w:r>
    <w:r w:rsidR="006D22E9">
      <w:rPr>
        <w:noProof/>
      </w:rPr>
      <w:t>9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23B" w:rsidRPr="001F0F7B" w:rsidRDefault="00A3523B" w:rsidP="001F0F7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FF" w:rsidRPr="001F0F7B" w:rsidRDefault="00551AFF" w:rsidP="001F0F7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FF" w:rsidRPr="001F0F7B" w:rsidRDefault="001F0F7B" w:rsidP="001F0F7B">
    <w:pPr>
      <w:pStyle w:val="Footer"/>
    </w:pPr>
    <w:r>
      <w:t xml:space="preserve">TEN/723 – EESC-2020-04884-00-01-AC-TRA (FR) </w:t>
    </w:r>
    <w:r>
      <w:fldChar w:fldCharType="begin"/>
    </w:r>
    <w:r>
      <w:instrText xml:space="preserve"> PAGE  \* Arabic  \* MERGEFORMAT </w:instrText>
    </w:r>
    <w:r>
      <w:fldChar w:fldCharType="separate"/>
    </w:r>
    <w:r w:rsidR="006D22E9">
      <w:rPr>
        <w:noProof/>
      </w:rPr>
      <w:t>8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 w:rsidR="006D22E9">
        <w:rPr>
          <w:noProof/>
        </w:rPr>
        <w:instrText>9</w:instrText>
      </w:r>
    </w:fldSimple>
    <w:r>
      <w:instrText xml:space="preserve"> -0 </w:instrText>
    </w:r>
    <w:r>
      <w:fldChar w:fldCharType="separate"/>
    </w:r>
    <w:r w:rsidR="006D22E9">
      <w:rPr>
        <w:noProof/>
      </w:rPr>
      <w:t>9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FF" w:rsidRPr="001F0F7B" w:rsidRDefault="00551AFF" w:rsidP="001F0F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8D5" w:rsidRDefault="006E78D5">
      <w:r>
        <w:separator/>
      </w:r>
    </w:p>
  </w:footnote>
  <w:footnote w:type="continuationSeparator" w:id="0">
    <w:p w:rsidR="006E78D5" w:rsidRDefault="006E78D5">
      <w:r>
        <w:continuationSeparator/>
      </w:r>
    </w:p>
  </w:footnote>
  <w:footnote w:id="1">
    <w:p w:rsidR="0070321D" w:rsidRPr="006A76A8" w:rsidRDefault="0070321D" w:rsidP="002F0EE4">
      <w:pPr>
        <w:pStyle w:val="FootnoteText"/>
        <w:ind w:left="567" w:hanging="567"/>
      </w:pPr>
      <w:r>
        <w:rPr>
          <w:rStyle w:val="FootnoteReference"/>
        </w:rPr>
        <w:footnoteRef/>
      </w:r>
      <w:r>
        <w:t xml:space="preserve"> </w:t>
      </w:r>
      <w:r>
        <w:tab/>
      </w:r>
      <w:hyperlink r:id="rId1" w:history="1">
        <w:r>
          <w:rPr>
            <w:rStyle w:val="Hyperlink"/>
          </w:rPr>
          <w:t xml:space="preserve">Úř. </w:t>
        </w:r>
        <w:proofErr w:type="gramStart"/>
        <w:r>
          <w:rPr>
            <w:rStyle w:val="Hyperlink"/>
          </w:rPr>
          <w:t>věst</w:t>
        </w:r>
        <w:proofErr w:type="gramEnd"/>
        <w:r>
          <w:rPr>
            <w:rStyle w:val="Hyperlink"/>
          </w:rPr>
          <w:t xml:space="preserve">. C 240, </w:t>
        </w:r>
        <w:proofErr w:type="gramStart"/>
        <w:r>
          <w:rPr>
            <w:rStyle w:val="Hyperlink"/>
          </w:rPr>
          <w:t>16.7.2019</w:t>
        </w:r>
        <w:proofErr w:type="gramEnd"/>
        <w:r>
          <w:rPr>
            <w:rStyle w:val="Hyperlink"/>
          </w:rPr>
          <w:t>, s. 15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23B" w:rsidRPr="001F0F7B" w:rsidRDefault="00A3523B" w:rsidP="001F0F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23B" w:rsidRPr="001F0F7B" w:rsidRDefault="00A3523B" w:rsidP="001F0F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23B" w:rsidRPr="001F0F7B" w:rsidRDefault="00A3523B" w:rsidP="001F0F7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FF" w:rsidRPr="001F0F7B" w:rsidRDefault="00551AFF" w:rsidP="001F0F7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FF" w:rsidRPr="001F0F7B" w:rsidRDefault="00551AFF" w:rsidP="001F0F7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AFF" w:rsidRPr="001F0F7B" w:rsidRDefault="00551AFF" w:rsidP="001F0F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59D230CE"/>
    <w:lvl w:ilvl="0">
      <w:start w:val="1"/>
      <w:numFmt w:val="decimal"/>
      <w:pStyle w:val="Heading1"/>
      <w:lvlText w:val="%1."/>
      <w:legacy w:legacy="1" w:legacySpace="0" w:legacyIndent="0"/>
      <w:lvlJc w:val="left"/>
      <w:rPr>
        <w:b w:val="0"/>
      </w:rPr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288242A6"/>
    <w:multiLevelType w:val="multilevel"/>
    <w:tmpl w:val="B2D41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0851191"/>
    <w:multiLevelType w:val="multilevel"/>
    <w:tmpl w:val="AB708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1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2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3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4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5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6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7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  <w:rPr>
          <w:b w:val="0"/>
        </w:rPr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8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59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0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1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2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3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4">
    <w:abstractNumId w:val="0"/>
    <w:lvlOverride w:ilvl="0">
      <w:lvl w:ilvl="0">
        <w:start w:val="1"/>
        <w:numFmt w:val="decimal"/>
        <w:pStyle w:val="Heading1"/>
        <w:lvlText w:val="%1."/>
        <w:legacy w:legacy="1" w:legacySpace="0" w:legacyIndent="0"/>
        <w:lvlJc w:val="left"/>
      </w:lvl>
    </w:lvlOverride>
    <w:lvlOverride w:ilvl="1">
      <w:lvl w:ilvl="1">
        <w:start w:val="1"/>
        <w:numFmt w:val="decimal"/>
        <w:pStyle w:val="Heading2"/>
        <w:lvlText w:val="%1.%2"/>
        <w:legacy w:legacy="1" w:legacySpace="144" w:legacyIndent="0"/>
        <w:lvlJc w:val="left"/>
      </w:lvl>
    </w:lvlOverride>
    <w:lvlOverride w:ilvl="2">
      <w:lvl w:ilvl="2">
        <w:start w:val="1"/>
        <w:numFmt w:val="decimal"/>
        <w:pStyle w:val="Heading3"/>
        <w:lvlText w:val="%1.%2.%3"/>
        <w:legacy w:legacy="1" w:legacySpace="144" w:legacyIndent="0"/>
        <w:lvlJc w:val="left"/>
      </w:lvl>
    </w:lvlOverride>
    <w:lvlOverride w:ilvl="3">
      <w:lvl w:ilvl="3">
        <w:start w:val="1"/>
        <w:numFmt w:val="decimal"/>
        <w:pStyle w:val="Heading4"/>
        <w:lvlText w:val="%1.%2.%3.%4"/>
        <w:legacy w:legacy="1" w:legacySpace="144" w:legacyIndent="0"/>
        <w:lvlJc w:val="left"/>
      </w:lvl>
    </w:lvlOverride>
    <w:lvlOverride w:ilvl="4">
      <w:lvl w:ilvl="4">
        <w:start w:val="1"/>
        <w:numFmt w:val="decimal"/>
        <w:pStyle w:val="Heading5"/>
        <w:lvlText w:val="%1.%2.%3.%4.%5"/>
        <w:legacy w:legacy="1" w:legacySpace="144" w:legacyIndent="0"/>
        <w:lvlJc w:val="left"/>
      </w:lvl>
    </w:lvlOverride>
    <w:lvlOverride w:ilvl="5">
      <w:lvl w:ilvl="5">
        <w:start w:val="1"/>
        <w:numFmt w:val="decimal"/>
        <w:pStyle w:val="Heading6"/>
        <w:lvlText w:val="%1.%2.%3.%4.%5.%6"/>
        <w:legacy w:legacy="1" w:legacySpace="144" w:legacyIndent="0"/>
        <w:lvlJc w:val="left"/>
      </w:lvl>
    </w:lvlOverride>
    <w:lvlOverride w:ilvl="6">
      <w:lvl w:ilvl="6">
        <w:start w:val="1"/>
        <w:numFmt w:val="decimal"/>
        <w:pStyle w:val="Heading7"/>
        <w:lvlText w:val="%1.%2.%3.%4.%5.%6.%7"/>
        <w:legacy w:legacy="1" w:legacySpace="144" w:legacyIndent="0"/>
        <w:lvlJc w:val="left"/>
      </w:lvl>
    </w:lvlOverride>
    <w:lvlOverride w:ilvl="7">
      <w:lvl w:ilvl="7">
        <w:start w:val="1"/>
        <w:numFmt w:val="decimal"/>
        <w:pStyle w:val="Heading8"/>
        <w:lvlText w:val="%1.%2.%3.%4.%5.%6.%7.%8"/>
        <w:legacy w:legacy="1" w:legacySpace="144" w:legacyIndent="0"/>
        <w:lvlJc w:val="left"/>
      </w:lvl>
    </w:lvlOverride>
    <w:lvlOverride w:ilvl="8">
      <w:lvl w:ilvl="8">
        <w:start w:val="1"/>
        <w:numFmt w:val="decimal"/>
        <w:pStyle w:val="Heading9"/>
        <w:lvlText w:val="%1.%2.%3.%4.%5.%6.%7.%8.%9"/>
        <w:legacy w:legacy="1" w:legacySpace="144" w:legacyIndent="0"/>
        <w:lvlJc w:val="left"/>
      </w:lvl>
    </w:lvlOverride>
  </w:num>
  <w:num w:numId="65">
    <w:abstractNumId w:val="1"/>
  </w:num>
  <w:num w:numId="66">
    <w:abstractNumId w:val="0"/>
  </w:num>
  <w:num w:numId="67">
    <w:abstractNumId w:val="0"/>
  </w:num>
  <w:num w:numId="68">
    <w:abstractNumId w:val="0"/>
  </w:num>
  <w:num w:numId="69">
    <w:abstractNumId w:val="0"/>
  </w:num>
  <w:num w:numId="70">
    <w:abstractNumId w:val="0"/>
  </w:num>
  <w:num w:numId="71">
    <w:abstractNumId w:val="2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oNotHyphenateCaps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doNotValidateAgainstSchema/>
  <w:doNotDemarcateInvalidXml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F8F"/>
    <w:rsid w:val="00005AB9"/>
    <w:rsid w:val="00005EB9"/>
    <w:rsid w:val="00006E24"/>
    <w:rsid w:val="00007A40"/>
    <w:rsid w:val="00011D33"/>
    <w:rsid w:val="00020E6E"/>
    <w:rsid w:val="00027E25"/>
    <w:rsid w:val="00031A4B"/>
    <w:rsid w:val="00033913"/>
    <w:rsid w:val="00033E5B"/>
    <w:rsid w:val="000357A8"/>
    <w:rsid w:val="00041E83"/>
    <w:rsid w:val="000430A6"/>
    <w:rsid w:val="00044923"/>
    <w:rsid w:val="0005249C"/>
    <w:rsid w:val="000534A5"/>
    <w:rsid w:val="0005680D"/>
    <w:rsid w:val="00063FB4"/>
    <w:rsid w:val="0006793E"/>
    <w:rsid w:val="00072E0F"/>
    <w:rsid w:val="000735E5"/>
    <w:rsid w:val="0007392F"/>
    <w:rsid w:val="000755DB"/>
    <w:rsid w:val="00087B39"/>
    <w:rsid w:val="00096502"/>
    <w:rsid w:val="000A152C"/>
    <w:rsid w:val="000A49BB"/>
    <w:rsid w:val="000C3441"/>
    <w:rsid w:val="000C59FC"/>
    <w:rsid w:val="000C7F53"/>
    <w:rsid w:val="000D137C"/>
    <w:rsid w:val="000D2F8E"/>
    <w:rsid w:val="000D7886"/>
    <w:rsid w:val="000E160F"/>
    <w:rsid w:val="000E6A87"/>
    <w:rsid w:val="000F196B"/>
    <w:rsid w:val="000F79DE"/>
    <w:rsid w:val="00105361"/>
    <w:rsid w:val="001101F8"/>
    <w:rsid w:val="0011206F"/>
    <w:rsid w:val="00113EE2"/>
    <w:rsid w:val="00113EFB"/>
    <w:rsid w:val="0011656A"/>
    <w:rsid w:val="0012220C"/>
    <w:rsid w:val="001248F2"/>
    <w:rsid w:val="00125CC8"/>
    <w:rsid w:val="0013144A"/>
    <w:rsid w:val="00136EA3"/>
    <w:rsid w:val="00137575"/>
    <w:rsid w:val="00137A94"/>
    <w:rsid w:val="00141CFF"/>
    <w:rsid w:val="00144231"/>
    <w:rsid w:val="00147E2C"/>
    <w:rsid w:val="00150434"/>
    <w:rsid w:val="0015219A"/>
    <w:rsid w:val="00153D63"/>
    <w:rsid w:val="00155721"/>
    <w:rsid w:val="00155CCE"/>
    <w:rsid w:val="001610C8"/>
    <w:rsid w:val="001647D1"/>
    <w:rsid w:val="0016503F"/>
    <w:rsid w:val="001656B5"/>
    <w:rsid w:val="0016674F"/>
    <w:rsid w:val="00167CA0"/>
    <w:rsid w:val="0017120D"/>
    <w:rsid w:val="001714F6"/>
    <w:rsid w:val="00171E54"/>
    <w:rsid w:val="00173EE6"/>
    <w:rsid w:val="00176168"/>
    <w:rsid w:val="00177158"/>
    <w:rsid w:val="001808A5"/>
    <w:rsid w:val="00184FD4"/>
    <w:rsid w:val="00186B04"/>
    <w:rsid w:val="00186F1E"/>
    <w:rsid w:val="00190836"/>
    <w:rsid w:val="00193930"/>
    <w:rsid w:val="001961D2"/>
    <w:rsid w:val="001963A5"/>
    <w:rsid w:val="00196F1E"/>
    <w:rsid w:val="001979B9"/>
    <w:rsid w:val="00197FCA"/>
    <w:rsid w:val="001A27DB"/>
    <w:rsid w:val="001A6852"/>
    <w:rsid w:val="001B2543"/>
    <w:rsid w:val="001B286A"/>
    <w:rsid w:val="001B2D02"/>
    <w:rsid w:val="001B3647"/>
    <w:rsid w:val="001B77FA"/>
    <w:rsid w:val="001C0ABE"/>
    <w:rsid w:val="001C5852"/>
    <w:rsid w:val="001D45F0"/>
    <w:rsid w:val="001E4A33"/>
    <w:rsid w:val="001E5C27"/>
    <w:rsid w:val="001F0F7B"/>
    <w:rsid w:val="001F602B"/>
    <w:rsid w:val="001F6AC8"/>
    <w:rsid w:val="002037D5"/>
    <w:rsid w:val="00206F90"/>
    <w:rsid w:val="00212B03"/>
    <w:rsid w:val="002131AE"/>
    <w:rsid w:val="00214A6E"/>
    <w:rsid w:val="00215C10"/>
    <w:rsid w:val="00215C2D"/>
    <w:rsid w:val="002252C4"/>
    <w:rsid w:val="0023183E"/>
    <w:rsid w:val="00235138"/>
    <w:rsid w:val="00243E36"/>
    <w:rsid w:val="0024540B"/>
    <w:rsid w:val="00245EF4"/>
    <w:rsid w:val="00250E11"/>
    <w:rsid w:val="00251383"/>
    <w:rsid w:val="002522C9"/>
    <w:rsid w:val="00252A21"/>
    <w:rsid w:val="00253225"/>
    <w:rsid w:val="00253E4F"/>
    <w:rsid w:val="002542E4"/>
    <w:rsid w:val="0025463B"/>
    <w:rsid w:val="00261053"/>
    <w:rsid w:val="00262FDE"/>
    <w:rsid w:val="00263629"/>
    <w:rsid w:val="002651BD"/>
    <w:rsid w:val="0026545C"/>
    <w:rsid w:val="002769BD"/>
    <w:rsid w:val="00276A75"/>
    <w:rsid w:val="002809EA"/>
    <w:rsid w:val="00284962"/>
    <w:rsid w:val="00287B0E"/>
    <w:rsid w:val="002A0B53"/>
    <w:rsid w:val="002A0EEF"/>
    <w:rsid w:val="002B2A93"/>
    <w:rsid w:val="002B2DF7"/>
    <w:rsid w:val="002C1AE9"/>
    <w:rsid w:val="002C3BF4"/>
    <w:rsid w:val="002C749F"/>
    <w:rsid w:val="002D1723"/>
    <w:rsid w:val="002D25F1"/>
    <w:rsid w:val="002E2FA2"/>
    <w:rsid w:val="002E7B33"/>
    <w:rsid w:val="002F059B"/>
    <w:rsid w:val="002F0EE4"/>
    <w:rsid w:val="002F5B0B"/>
    <w:rsid w:val="00300924"/>
    <w:rsid w:val="0030596E"/>
    <w:rsid w:val="003073C3"/>
    <w:rsid w:val="0031694F"/>
    <w:rsid w:val="003225D3"/>
    <w:rsid w:val="00323637"/>
    <w:rsid w:val="00324AAC"/>
    <w:rsid w:val="00324E8A"/>
    <w:rsid w:val="00331D87"/>
    <w:rsid w:val="00332850"/>
    <w:rsid w:val="00334478"/>
    <w:rsid w:val="003346B4"/>
    <w:rsid w:val="00334AE6"/>
    <w:rsid w:val="00336059"/>
    <w:rsid w:val="003365D0"/>
    <w:rsid w:val="00341A2B"/>
    <w:rsid w:val="003439AB"/>
    <w:rsid w:val="0035001B"/>
    <w:rsid w:val="0035034C"/>
    <w:rsid w:val="003511DD"/>
    <w:rsid w:val="00354695"/>
    <w:rsid w:val="0035549B"/>
    <w:rsid w:val="00366D88"/>
    <w:rsid w:val="00372135"/>
    <w:rsid w:val="003750D3"/>
    <w:rsid w:val="003755C8"/>
    <w:rsid w:val="00375687"/>
    <w:rsid w:val="0037771D"/>
    <w:rsid w:val="00380AE0"/>
    <w:rsid w:val="00383324"/>
    <w:rsid w:val="00387A75"/>
    <w:rsid w:val="003904FD"/>
    <w:rsid w:val="00392A47"/>
    <w:rsid w:val="00394254"/>
    <w:rsid w:val="003C133F"/>
    <w:rsid w:val="003C2BFB"/>
    <w:rsid w:val="003C436B"/>
    <w:rsid w:val="003C5337"/>
    <w:rsid w:val="003C5F92"/>
    <w:rsid w:val="003D6B84"/>
    <w:rsid w:val="003D7A8C"/>
    <w:rsid w:val="003D7C00"/>
    <w:rsid w:val="003E102C"/>
    <w:rsid w:val="003E17CA"/>
    <w:rsid w:val="003E56E5"/>
    <w:rsid w:val="003E6023"/>
    <w:rsid w:val="003E7E60"/>
    <w:rsid w:val="003F00D4"/>
    <w:rsid w:val="003F2209"/>
    <w:rsid w:val="003F3D39"/>
    <w:rsid w:val="003F646A"/>
    <w:rsid w:val="003F6761"/>
    <w:rsid w:val="003F6A0A"/>
    <w:rsid w:val="004024F5"/>
    <w:rsid w:val="00402DE1"/>
    <w:rsid w:val="00403D8B"/>
    <w:rsid w:val="004058F1"/>
    <w:rsid w:val="004061B8"/>
    <w:rsid w:val="00407E7D"/>
    <w:rsid w:val="0041283D"/>
    <w:rsid w:val="00413AB4"/>
    <w:rsid w:val="00421373"/>
    <w:rsid w:val="00421FB7"/>
    <w:rsid w:val="0042763B"/>
    <w:rsid w:val="0043024C"/>
    <w:rsid w:val="00430FCC"/>
    <w:rsid w:val="00436706"/>
    <w:rsid w:val="00437639"/>
    <w:rsid w:val="004438F6"/>
    <w:rsid w:val="00443D38"/>
    <w:rsid w:val="00450E7A"/>
    <w:rsid w:val="0045142E"/>
    <w:rsid w:val="00456AF8"/>
    <w:rsid w:val="00466A19"/>
    <w:rsid w:val="00470B15"/>
    <w:rsid w:val="00475869"/>
    <w:rsid w:val="00475A77"/>
    <w:rsid w:val="00476CB9"/>
    <w:rsid w:val="004866A9"/>
    <w:rsid w:val="00492774"/>
    <w:rsid w:val="004950E2"/>
    <w:rsid w:val="00496D7A"/>
    <w:rsid w:val="004A31BC"/>
    <w:rsid w:val="004A3F1A"/>
    <w:rsid w:val="004A3F45"/>
    <w:rsid w:val="004A6375"/>
    <w:rsid w:val="004B1AFA"/>
    <w:rsid w:val="004B7088"/>
    <w:rsid w:val="004C4D12"/>
    <w:rsid w:val="004C5B76"/>
    <w:rsid w:val="004D02CD"/>
    <w:rsid w:val="004D0B24"/>
    <w:rsid w:val="004D42E8"/>
    <w:rsid w:val="004D45B4"/>
    <w:rsid w:val="004D4B90"/>
    <w:rsid w:val="004D6040"/>
    <w:rsid w:val="004D67C0"/>
    <w:rsid w:val="004D6B95"/>
    <w:rsid w:val="004D7F41"/>
    <w:rsid w:val="004E03A2"/>
    <w:rsid w:val="004E09E3"/>
    <w:rsid w:val="004E317E"/>
    <w:rsid w:val="004E3954"/>
    <w:rsid w:val="004E5856"/>
    <w:rsid w:val="004E70D8"/>
    <w:rsid w:val="004F2330"/>
    <w:rsid w:val="004F53C6"/>
    <w:rsid w:val="004F55C6"/>
    <w:rsid w:val="004F69DB"/>
    <w:rsid w:val="004F6B87"/>
    <w:rsid w:val="00501C2D"/>
    <w:rsid w:val="00502637"/>
    <w:rsid w:val="00502C12"/>
    <w:rsid w:val="00511140"/>
    <w:rsid w:val="00512066"/>
    <w:rsid w:val="00513CFE"/>
    <w:rsid w:val="00516675"/>
    <w:rsid w:val="00523B6A"/>
    <w:rsid w:val="00525F6C"/>
    <w:rsid w:val="005346CE"/>
    <w:rsid w:val="00540D07"/>
    <w:rsid w:val="0054656C"/>
    <w:rsid w:val="00546AB4"/>
    <w:rsid w:val="00547475"/>
    <w:rsid w:val="005514E5"/>
    <w:rsid w:val="00551AFF"/>
    <w:rsid w:val="00563C84"/>
    <w:rsid w:val="005729F2"/>
    <w:rsid w:val="005762F6"/>
    <w:rsid w:val="00584FBE"/>
    <w:rsid w:val="00585483"/>
    <w:rsid w:val="005856FC"/>
    <w:rsid w:val="00587378"/>
    <w:rsid w:val="00587C05"/>
    <w:rsid w:val="00590AAB"/>
    <w:rsid w:val="005938C3"/>
    <w:rsid w:val="0059468C"/>
    <w:rsid w:val="00595125"/>
    <w:rsid w:val="005964BD"/>
    <w:rsid w:val="00596F21"/>
    <w:rsid w:val="005A29F8"/>
    <w:rsid w:val="005B063F"/>
    <w:rsid w:val="005B1CDD"/>
    <w:rsid w:val="005B1E19"/>
    <w:rsid w:val="005B33B5"/>
    <w:rsid w:val="005B55FC"/>
    <w:rsid w:val="005B5E96"/>
    <w:rsid w:val="005C2D5E"/>
    <w:rsid w:val="005C3B81"/>
    <w:rsid w:val="005C490F"/>
    <w:rsid w:val="005C64B1"/>
    <w:rsid w:val="005C650C"/>
    <w:rsid w:val="005D086C"/>
    <w:rsid w:val="005D11D3"/>
    <w:rsid w:val="005D1416"/>
    <w:rsid w:val="005D4E1F"/>
    <w:rsid w:val="005D4FB3"/>
    <w:rsid w:val="005E2F07"/>
    <w:rsid w:val="005E2FEA"/>
    <w:rsid w:val="005E7406"/>
    <w:rsid w:val="005F314B"/>
    <w:rsid w:val="00601E78"/>
    <w:rsid w:val="00602ADF"/>
    <w:rsid w:val="00602F1F"/>
    <w:rsid w:val="00603E50"/>
    <w:rsid w:val="006110E1"/>
    <w:rsid w:val="00611AF2"/>
    <w:rsid w:val="0061212B"/>
    <w:rsid w:val="006127AF"/>
    <w:rsid w:val="00613A98"/>
    <w:rsid w:val="00615FB2"/>
    <w:rsid w:val="00617BD1"/>
    <w:rsid w:val="00617CE8"/>
    <w:rsid w:val="006226CA"/>
    <w:rsid w:val="0062452B"/>
    <w:rsid w:val="006278A0"/>
    <w:rsid w:val="006302D8"/>
    <w:rsid w:val="0063095F"/>
    <w:rsid w:val="00631CBD"/>
    <w:rsid w:val="0063704F"/>
    <w:rsid w:val="00641DD3"/>
    <w:rsid w:val="00646AC2"/>
    <w:rsid w:val="00650390"/>
    <w:rsid w:val="006517B1"/>
    <w:rsid w:val="00654DAB"/>
    <w:rsid w:val="00657043"/>
    <w:rsid w:val="0066204A"/>
    <w:rsid w:val="006632A7"/>
    <w:rsid w:val="00670E3C"/>
    <w:rsid w:val="00677F57"/>
    <w:rsid w:val="00681088"/>
    <w:rsid w:val="00686245"/>
    <w:rsid w:val="0069577E"/>
    <w:rsid w:val="0069634B"/>
    <w:rsid w:val="00696623"/>
    <w:rsid w:val="006A0285"/>
    <w:rsid w:val="006A04E9"/>
    <w:rsid w:val="006A194C"/>
    <w:rsid w:val="006A4A03"/>
    <w:rsid w:val="006A7543"/>
    <w:rsid w:val="006A76A8"/>
    <w:rsid w:val="006B42A9"/>
    <w:rsid w:val="006B45F6"/>
    <w:rsid w:val="006B725C"/>
    <w:rsid w:val="006C08BD"/>
    <w:rsid w:val="006C273D"/>
    <w:rsid w:val="006C5B9B"/>
    <w:rsid w:val="006C5C4F"/>
    <w:rsid w:val="006C6282"/>
    <w:rsid w:val="006C6582"/>
    <w:rsid w:val="006C762A"/>
    <w:rsid w:val="006D22E9"/>
    <w:rsid w:val="006D5CEE"/>
    <w:rsid w:val="006D5FF9"/>
    <w:rsid w:val="006E0514"/>
    <w:rsid w:val="006E0772"/>
    <w:rsid w:val="006E0F86"/>
    <w:rsid w:val="006E32A4"/>
    <w:rsid w:val="006E4060"/>
    <w:rsid w:val="006E78D5"/>
    <w:rsid w:val="006F0B15"/>
    <w:rsid w:val="006F0DCC"/>
    <w:rsid w:val="0070119E"/>
    <w:rsid w:val="0070321D"/>
    <w:rsid w:val="00703DF9"/>
    <w:rsid w:val="007048EB"/>
    <w:rsid w:val="00704FBB"/>
    <w:rsid w:val="00706C34"/>
    <w:rsid w:val="0070726A"/>
    <w:rsid w:val="0071002C"/>
    <w:rsid w:val="0071226B"/>
    <w:rsid w:val="00717040"/>
    <w:rsid w:val="0072096D"/>
    <w:rsid w:val="007471A7"/>
    <w:rsid w:val="0075150A"/>
    <w:rsid w:val="007519AA"/>
    <w:rsid w:val="00756F5C"/>
    <w:rsid w:val="007622A7"/>
    <w:rsid w:val="007750A2"/>
    <w:rsid w:val="0077798D"/>
    <w:rsid w:val="007817D6"/>
    <w:rsid w:val="00781E1C"/>
    <w:rsid w:val="0078533B"/>
    <w:rsid w:val="00787912"/>
    <w:rsid w:val="0079177A"/>
    <w:rsid w:val="00794836"/>
    <w:rsid w:val="007948D5"/>
    <w:rsid w:val="007A15C9"/>
    <w:rsid w:val="007A28B4"/>
    <w:rsid w:val="007A6676"/>
    <w:rsid w:val="007B337D"/>
    <w:rsid w:val="007B7FF5"/>
    <w:rsid w:val="007C3FC6"/>
    <w:rsid w:val="007D2CE9"/>
    <w:rsid w:val="007D4FED"/>
    <w:rsid w:val="007D69DA"/>
    <w:rsid w:val="007D70B1"/>
    <w:rsid w:val="007D7140"/>
    <w:rsid w:val="007E1CDB"/>
    <w:rsid w:val="007E408C"/>
    <w:rsid w:val="007E7E21"/>
    <w:rsid w:val="007F0460"/>
    <w:rsid w:val="007F0DA2"/>
    <w:rsid w:val="007F39CE"/>
    <w:rsid w:val="007F5E0D"/>
    <w:rsid w:val="007F79D0"/>
    <w:rsid w:val="00801085"/>
    <w:rsid w:val="00801A89"/>
    <w:rsid w:val="008053E9"/>
    <w:rsid w:val="00812138"/>
    <w:rsid w:val="008151F2"/>
    <w:rsid w:val="0081777A"/>
    <w:rsid w:val="008210E0"/>
    <w:rsid w:val="00824079"/>
    <w:rsid w:val="00831F0A"/>
    <w:rsid w:val="00833A78"/>
    <w:rsid w:val="00835C45"/>
    <w:rsid w:val="0084585F"/>
    <w:rsid w:val="008510DB"/>
    <w:rsid w:val="00853E53"/>
    <w:rsid w:val="0085535C"/>
    <w:rsid w:val="008630EB"/>
    <w:rsid w:val="00864D76"/>
    <w:rsid w:val="008656C9"/>
    <w:rsid w:val="00865821"/>
    <w:rsid w:val="0086711C"/>
    <w:rsid w:val="00867535"/>
    <w:rsid w:val="00875C5B"/>
    <w:rsid w:val="00880CA4"/>
    <w:rsid w:val="00883C5F"/>
    <w:rsid w:val="00891C7D"/>
    <w:rsid w:val="00892FA7"/>
    <w:rsid w:val="008A3301"/>
    <w:rsid w:val="008A4DB1"/>
    <w:rsid w:val="008A4DF1"/>
    <w:rsid w:val="008A5636"/>
    <w:rsid w:val="008B125E"/>
    <w:rsid w:val="008B241C"/>
    <w:rsid w:val="008B408B"/>
    <w:rsid w:val="008B4F11"/>
    <w:rsid w:val="008C2362"/>
    <w:rsid w:val="008C3049"/>
    <w:rsid w:val="008C66FF"/>
    <w:rsid w:val="008C7BE0"/>
    <w:rsid w:val="008D4AE9"/>
    <w:rsid w:val="008D5CF3"/>
    <w:rsid w:val="008D7D39"/>
    <w:rsid w:val="008E3DD0"/>
    <w:rsid w:val="008E4574"/>
    <w:rsid w:val="008F4016"/>
    <w:rsid w:val="008F42FE"/>
    <w:rsid w:val="008F4A00"/>
    <w:rsid w:val="008F5402"/>
    <w:rsid w:val="0090053A"/>
    <w:rsid w:val="00901C2A"/>
    <w:rsid w:val="00903BFF"/>
    <w:rsid w:val="009118C7"/>
    <w:rsid w:val="00913683"/>
    <w:rsid w:val="009164DB"/>
    <w:rsid w:val="00916D5D"/>
    <w:rsid w:val="009225B6"/>
    <w:rsid w:val="00925397"/>
    <w:rsid w:val="00931DD0"/>
    <w:rsid w:val="00932BC9"/>
    <w:rsid w:val="00933A21"/>
    <w:rsid w:val="00934C10"/>
    <w:rsid w:val="00936297"/>
    <w:rsid w:val="0093662A"/>
    <w:rsid w:val="0094060C"/>
    <w:rsid w:val="00942C4B"/>
    <w:rsid w:val="00944196"/>
    <w:rsid w:val="009536E7"/>
    <w:rsid w:val="009606A5"/>
    <w:rsid w:val="0096200F"/>
    <w:rsid w:val="00962F1F"/>
    <w:rsid w:val="00965304"/>
    <w:rsid w:val="00971293"/>
    <w:rsid w:val="00973A3B"/>
    <w:rsid w:val="009750B6"/>
    <w:rsid w:val="00983EAE"/>
    <w:rsid w:val="0098760B"/>
    <w:rsid w:val="009A11DD"/>
    <w:rsid w:val="009A6764"/>
    <w:rsid w:val="009B30AA"/>
    <w:rsid w:val="009B5217"/>
    <w:rsid w:val="009C268F"/>
    <w:rsid w:val="009C48DE"/>
    <w:rsid w:val="009D1E10"/>
    <w:rsid w:val="009D60D9"/>
    <w:rsid w:val="009E0901"/>
    <w:rsid w:val="009E1E1E"/>
    <w:rsid w:val="009E33E3"/>
    <w:rsid w:val="009E7F16"/>
    <w:rsid w:val="009F5052"/>
    <w:rsid w:val="009F7729"/>
    <w:rsid w:val="00A0198A"/>
    <w:rsid w:val="00A02993"/>
    <w:rsid w:val="00A03083"/>
    <w:rsid w:val="00A04C85"/>
    <w:rsid w:val="00A100F0"/>
    <w:rsid w:val="00A156E6"/>
    <w:rsid w:val="00A177C5"/>
    <w:rsid w:val="00A2553E"/>
    <w:rsid w:val="00A27D86"/>
    <w:rsid w:val="00A30A3D"/>
    <w:rsid w:val="00A33151"/>
    <w:rsid w:val="00A3523B"/>
    <w:rsid w:val="00A36970"/>
    <w:rsid w:val="00A41EB4"/>
    <w:rsid w:val="00A44BFF"/>
    <w:rsid w:val="00A44EAF"/>
    <w:rsid w:val="00A501E3"/>
    <w:rsid w:val="00A50F0C"/>
    <w:rsid w:val="00A56441"/>
    <w:rsid w:val="00A65DFA"/>
    <w:rsid w:val="00A664D0"/>
    <w:rsid w:val="00A736DD"/>
    <w:rsid w:val="00A82869"/>
    <w:rsid w:val="00A8758C"/>
    <w:rsid w:val="00A9539B"/>
    <w:rsid w:val="00A97BC9"/>
    <w:rsid w:val="00AA127E"/>
    <w:rsid w:val="00AA19AE"/>
    <w:rsid w:val="00AA423D"/>
    <w:rsid w:val="00AA4451"/>
    <w:rsid w:val="00AA6A95"/>
    <w:rsid w:val="00AB10DE"/>
    <w:rsid w:val="00AB3668"/>
    <w:rsid w:val="00AB5ED7"/>
    <w:rsid w:val="00AC0B4C"/>
    <w:rsid w:val="00AD0AEE"/>
    <w:rsid w:val="00AD2A84"/>
    <w:rsid w:val="00AD49E3"/>
    <w:rsid w:val="00AD4B4F"/>
    <w:rsid w:val="00AF0616"/>
    <w:rsid w:val="00AF0E28"/>
    <w:rsid w:val="00AF6F9B"/>
    <w:rsid w:val="00B01409"/>
    <w:rsid w:val="00B10DBD"/>
    <w:rsid w:val="00B14FCB"/>
    <w:rsid w:val="00B15629"/>
    <w:rsid w:val="00B2179F"/>
    <w:rsid w:val="00B226A6"/>
    <w:rsid w:val="00B2372C"/>
    <w:rsid w:val="00B32295"/>
    <w:rsid w:val="00B32F70"/>
    <w:rsid w:val="00B373D0"/>
    <w:rsid w:val="00B43AAA"/>
    <w:rsid w:val="00B53139"/>
    <w:rsid w:val="00B562CE"/>
    <w:rsid w:val="00B62DE2"/>
    <w:rsid w:val="00B669DC"/>
    <w:rsid w:val="00B74417"/>
    <w:rsid w:val="00B77246"/>
    <w:rsid w:val="00B80264"/>
    <w:rsid w:val="00B835A1"/>
    <w:rsid w:val="00B866CD"/>
    <w:rsid w:val="00B8788E"/>
    <w:rsid w:val="00B91B56"/>
    <w:rsid w:val="00B92A5E"/>
    <w:rsid w:val="00B93034"/>
    <w:rsid w:val="00B9413B"/>
    <w:rsid w:val="00B97C5D"/>
    <w:rsid w:val="00BA1290"/>
    <w:rsid w:val="00BA399D"/>
    <w:rsid w:val="00BB1649"/>
    <w:rsid w:val="00BB2792"/>
    <w:rsid w:val="00BB76BF"/>
    <w:rsid w:val="00BC1AD1"/>
    <w:rsid w:val="00BC4A58"/>
    <w:rsid w:val="00BC613B"/>
    <w:rsid w:val="00BD51D9"/>
    <w:rsid w:val="00BD64E2"/>
    <w:rsid w:val="00BE4995"/>
    <w:rsid w:val="00BF1523"/>
    <w:rsid w:val="00BF3E60"/>
    <w:rsid w:val="00BF429A"/>
    <w:rsid w:val="00BF62BE"/>
    <w:rsid w:val="00BF7B57"/>
    <w:rsid w:val="00C0494A"/>
    <w:rsid w:val="00C07126"/>
    <w:rsid w:val="00C14E0D"/>
    <w:rsid w:val="00C16853"/>
    <w:rsid w:val="00C20CF0"/>
    <w:rsid w:val="00C25B16"/>
    <w:rsid w:val="00C263F0"/>
    <w:rsid w:val="00C33D41"/>
    <w:rsid w:val="00C37553"/>
    <w:rsid w:val="00C40AFD"/>
    <w:rsid w:val="00C41B6F"/>
    <w:rsid w:val="00C41E20"/>
    <w:rsid w:val="00C42E3E"/>
    <w:rsid w:val="00C51C13"/>
    <w:rsid w:val="00C525A5"/>
    <w:rsid w:val="00C5300F"/>
    <w:rsid w:val="00C54594"/>
    <w:rsid w:val="00C60847"/>
    <w:rsid w:val="00C66CE0"/>
    <w:rsid w:val="00C70027"/>
    <w:rsid w:val="00C71BED"/>
    <w:rsid w:val="00C737B2"/>
    <w:rsid w:val="00C81B53"/>
    <w:rsid w:val="00C82AD2"/>
    <w:rsid w:val="00C90FB6"/>
    <w:rsid w:val="00C9220E"/>
    <w:rsid w:val="00C932BD"/>
    <w:rsid w:val="00C93429"/>
    <w:rsid w:val="00CA05F9"/>
    <w:rsid w:val="00CA16C5"/>
    <w:rsid w:val="00CA3187"/>
    <w:rsid w:val="00CA415A"/>
    <w:rsid w:val="00CA7A35"/>
    <w:rsid w:val="00CB1536"/>
    <w:rsid w:val="00CB75C1"/>
    <w:rsid w:val="00CB7FB8"/>
    <w:rsid w:val="00CC1F71"/>
    <w:rsid w:val="00CC5588"/>
    <w:rsid w:val="00CC5EB3"/>
    <w:rsid w:val="00CC7A25"/>
    <w:rsid w:val="00CD0E7B"/>
    <w:rsid w:val="00CD2ABD"/>
    <w:rsid w:val="00CD4024"/>
    <w:rsid w:val="00CD4617"/>
    <w:rsid w:val="00CD4855"/>
    <w:rsid w:val="00CD4E86"/>
    <w:rsid w:val="00CD7387"/>
    <w:rsid w:val="00CE6B16"/>
    <w:rsid w:val="00CE6D43"/>
    <w:rsid w:val="00CE7888"/>
    <w:rsid w:val="00CE7F3D"/>
    <w:rsid w:val="00CF146F"/>
    <w:rsid w:val="00D0701F"/>
    <w:rsid w:val="00D10B67"/>
    <w:rsid w:val="00D10E1C"/>
    <w:rsid w:val="00D161A3"/>
    <w:rsid w:val="00D20CA1"/>
    <w:rsid w:val="00D22E49"/>
    <w:rsid w:val="00D23716"/>
    <w:rsid w:val="00D25ED8"/>
    <w:rsid w:val="00D27F8F"/>
    <w:rsid w:val="00D316B8"/>
    <w:rsid w:val="00D31CFC"/>
    <w:rsid w:val="00D3255D"/>
    <w:rsid w:val="00D340C3"/>
    <w:rsid w:val="00D36954"/>
    <w:rsid w:val="00D36BD3"/>
    <w:rsid w:val="00D409CD"/>
    <w:rsid w:val="00D423D4"/>
    <w:rsid w:val="00D42CAF"/>
    <w:rsid w:val="00D43934"/>
    <w:rsid w:val="00D527D9"/>
    <w:rsid w:val="00D5310F"/>
    <w:rsid w:val="00D601EF"/>
    <w:rsid w:val="00D61533"/>
    <w:rsid w:val="00D63B2F"/>
    <w:rsid w:val="00D70747"/>
    <w:rsid w:val="00D7261D"/>
    <w:rsid w:val="00D755FC"/>
    <w:rsid w:val="00D76B6D"/>
    <w:rsid w:val="00D84D07"/>
    <w:rsid w:val="00D8526A"/>
    <w:rsid w:val="00D90E91"/>
    <w:rsid w:val="00DA25A8"/>
    <w:rsid w:val="00DB60E1"/>
    <w:rsid w:val="00DC11ED"/>
    <w:rsid w:val="00DC1347"/>
    <w:rsid w:val="00DC39F1"/>
    <w:rsid w:val="00DD7603"/>
    <w:rsid w:val="00DE4B35"/>
    <w:rsid w:val="00DE7D00"/>
    <w:rsid w:val="00DF19C1"/>
    <w:rsid w:val="00DF2C64"/>
    <w:rsid w:val="00DF4FFD"/>
    <w:rsid w:val="00DF54CA"/>
    <w:rsid w:val="00DF56C9"/>
    <w:rsid w:val="00DF5B64"/>
    <w:rsid w:val="00E006B9"/>
    <w:rsid w:val="00E02794"/>
    <w:rsid w:val="00E043E3"/>
    <w:rsid w:val="00E0505B"/>
    <w:rsid w:val="00E11280"/>
    <w:rsid w:val="00E12359"/>
    <w:rsid w:val="00E127A7"/>
    <w:rsid w:val="00E152FF"/>
    <w:rsid w:val="00E17A47"/>
    <w:rsid w:val="00E2461B"/>
    <w:rsid w:val="00E24886"/>
    <w:rsid w:val="00E267FF"/>
    <w:rsid w:val="00E276FB"/>
    <w:rsid w:val="00E32595"/>
    <w:rsid w:val="00E32DC6"/>
    <w:rsid w:val="00E33A74"/>
    <w:rsid w:val="00E4030B"/>
    <w:rsid w:val="00E41D56"/>
    <w:rsid w:val="00E457DF"/>
    <w:rsid w:val="00E46642"/>
    <w:rsid w:val="00E5139A"/>
    <w:rsid w:val="00E5413D"/>
    <w:rsid w:val="00E57977"/>
    <w:rsid w:val="00E62B5F"/>
    <w:rsid w:val="00E635D7"/>
    <w:rsid w:val="00E70576"/>
    <w:rsid w:val="00E71DED"/>
    <w:rsid w:val="00E75B1C"/>
    <w:rsid w:val="00E77059"/>
    <w:rsid w:val="00E771FC"/>
    <w:rsid w:val="00E83954"/>
    <w:rsid w:val="00E91730"/>
    <w:rsid w:val="00E96F04"/>
    <w:rsid w:val="00E97AEC"/>
    <w:rsid w:val="00EA20FE"/>
    <w:rsid w:val="00EA43B8"/>
    <w:rsid w:val="00EB1E05"/>
    <w:rsid w:val="00EB491E"/>
    <w:rsid w:val="00EB681B"/>
    <w:rsid w:val="00EC4FAD"/>
    <w:rsid w:val="00ED3637"/>
    <w:rsid w:val="00EE3CFA"/>
    <w:rsid w:val="00EE69E4"/>
    <w:rsid w:val="00EF2A7F"/>
    <w:rsid w:val="00EF7E90"/>
    <w:rsid w:val="00F002B6"/>
    <w:rsid w:val="00F07B05"/>
    <w:rsid w:val="00F10AFE"/>
    <w:rsid w:val="00F15C6C"/>
    <w:rsid w:val="00F17173"/>
    <w:rsid w:val="00F20987"/>
    <w:rsid w:val="00F224DC"/>
    <w:rsid w:val="00F2687F"/>
    <w:rsid w:val="00F26A5E"/>
    <w:rsid w:val="00F27F29"/>
    <w:rsid w:val="00F32D54"/>
    <w:rsid w:val="00F35DC5"/>
    <w:rsid w:val="00F36C54"/>
    <w:rsid w:val="00F4093C"/>
    <w:rsid w:val="00F418EA"/>
    <w:rsid w:val="00F41A29"/>
    <w:rsid w:val="00F44C1C"/>
    <w:rsid w:val="00F518DF"/>
    <w:rsid w:val="00F544DB"/>
    <w:rsid w:val="00F6153B"/>
    <w:rsid w:val="00F6502E"/>
    <w:rsid w:val="00F65663"/>
    <w:rsid w:val="00F75147"/>
    <w:rsid w:val="00F756C0"/>
    <w:rsid w:val="00F75A40"/>
    <w:rsid w:val="00F77637"/>
    <w:rsid w:val="00F8435D"/>
    <w:rsid w:val="00F862E5"/>
    <w:rsid w:val="00F866FC"/>
    <w:rsid w:val="00F87DD0"/>
    <w:rsid w:val="00F93360"/>
    <w:rsid w:val="00F93FE4"/>
    <w:rsid w:val="00F97229"/>
    <w:rsid w:val="00F97E4E"/>
    <w:rsid w:val="00FA1A40"/>
    <w:rsid w:val="00FA217B"/>
    <w:rsid w:val="00FB0BC5"/>
    <w:rsid w:val="00FB0BCC"/>
    <w:rsid w:val="00FC0FE5"/>
    <w:rsid w:val="00FC2E43"/>
    <w:rsid w:val="00FC3FBF"/>
    <w:rsid w:val="00FC4F4E"/>
    <w:rsid w:val="00FC62BA"/>
    <w:rsid w:val="00FD0E86"/>
    <w:rsid w:val="00FD1ABC"/>
    <w:rsid w:val="00FD7DDF"/>
    <w:rsid w:val="00FE4C92"/>
    <w:rsid w:val="00FF0FAA"/>
    <w:rsid w:val="00FF3759"/>
    <w:rsid w:val="00FF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,"/>
  <w14:docId w14:val="77D525B3"/>
  <w15:docId w15:val="{421FE53E-CC04-4C47-A0F4-E678814EA14D}"/>
  <w:attachedTemplate r:id="relationI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fr-FR" w:bidi="fr-FR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 w:qFormat="1"/>
    <w:lsdException w:name="annotation text" w:semiHidden="1" w:uiPriority="0" w:unhideWhenUsed="1"/>
    <w:lsdException w:name="header" w:locked="1" w:semiHidden="1" w:uiPriority="0" w:unhideWhenUsed="1" w:qFormat="1"/>
    <w:lsdException w:name="footer" w:locked="1" w:semiHidden="1" w:uiPriority="0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31AE"/>
    <w:pPr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szCs w:val="20"/>
    </w:rPr>
  </w:style>
  <w:style w:type="paragraph" w:styleId="Heading1">
    <w:name w:val="heading 1"/>
    <w:basedOn w:val="Normal"/>
    <w:next w:val="Normal"/>
    <w:link w:val="Heading1Char"/>
    <w:qFormat/>
    <w:rsid w:val="002131AE"/>
    <w:pPr>
      <w:numPr>
        <w:numId w:val="1"/>
      </w:numPr>
      <w:ind w:left="720" w:hanging="720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2131AE"/>
    <w:pPr>
      <w:numPr>
        <w:ilvl w:val="1"/>
        <w:numId w:val="1"/>
      </w:numPr>
      <w:ind w:left="720" w:hanging="72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2131AE"/>
    <w:pPr>
      <w:numPr>
        <w:ilvl w:val="2"/>
        <w:numId w:val="1"/>
      </w:numPr>
      <w:ind w:left="720" w:hanging="720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2131AE"/>
    <w:pPr>
      <w:numPr>
        <w:ilvl w:val="3"/>
        <w:numId w:val="1"/>
      </w:numPr>
      <w:ind w:left="720" w:hanging="720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2131AE"/>
    <w:pPr>
      <w:numPr>
        <w:ilvl w:val="4"/>
        <w:numId w:val="1"/>
      </w:numPr>
      <w:ind w:left="720" w:hanging="720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2131AE"/>
    <w:pPr>
      <w:numPr>
        <w:ilvl w:val="5"/>
        <w:numId w:val="1"/>
      </w:numPr>
      <w:ind w:left="720" w:hanging="720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2131AE"/>
    <w:pPr>
      <w:numPr>
        <w:ilvl w:val="6"/>
        <w:numId w:val="1"/>
      </w:numPr>
      <w:ind w:left="720" w:hanging="72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2131AE"/>
    <w:pPr>
      <w:numPr>
        <w:ilvl w:val="7"/>
        <w:numId w:val="1"/>
      </w:numPr>
      <w:ind w:left="720" w:hanging="720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2131AE"/>
    <w:pPr>
      <w:numPr>
        <w:ilvl w:val="8"/>
        <w:numId w:val="1"/>
      </w:numPr>
      <w:ind w:left="72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CB1536"/>
    <w:rPr>
      <w:kern w:val="28"/>
      <w:szCs w:val="20"/>
      <w:lang w:eastAsia="fr-FR" w:bidi="fr-FR"/>
    </w:rPr>
  </w:style>
  <w:style w:type="character" w:customStyle="1" w:styleId="Heading2Char">
    <w:name w:val="Heading 2 Char"/>
    <w:basedOn w:val="DefaultParagraphFont"/>
    <w:link w:val="Heading2"/>
    <w:locked/>
    <w:rsid w:val="00CB1536"/>
    <w:rPr>
      <w:szCs w:val="20"/>
      <w:lang w:eastAsia="fr-FR" w:bidi="fr-FR"/>
    </w:rPr>
  </w:style>
  <w:style w:type="character" w:customStyle="1" w:styleId="Heading3Char">
    <w:name w:val="Heading 3 Char"/>
    <w:basedOn w:val="DefaultParagraphFont"/>
    <w:link w:val="Heading3"/>
    <w:locked/>
    <w:rsid w:val="00CB1536"/>
    <w:rPr>
      <w:szCs w:val="20"/>
      <w:lang w:eastAsia="fr-FR" w:bidi="fr-FR"/>
    </w:rPr>
  </w:style>
  <w:style w:type="character" w:customStyle="1" w:styleId="Heading4Char">
    <w:name w:val="Heading 4 Char"/>
    <w:basedOn w:val="DefaultParagraphFont"/>
    <w:link w:val="Heading4"/>
    <w:locked/>
    <w:rsid w:val="00CB1536"/>
    <w:rPr>
      <w:szCs w:val="20"/>
      <w:lang w:eastAsia="fr-FR" w:bidi="fr-FR"/>
    </w:rPr>
  </w:style>
  <w:style w:type="character" w:customStyle="1" w:styleId="Heading5Char">
    <w:name w:val="Heading 5 Char"/>
    <w:basedOn w:val="DefaultParagraphFont"/>
    <w:link w:val="Heading5"/>
    <w:locked/>
    <w:rsid w:val="00CB1536"/>
    <w:rPr>
      <w:szCs w:val="20"/>
      <w:lang w:eastAsia="fr-FR" w:bidi="fr-FR"/>
    </w:rPr>
  </w:style>
  <w:style w:type="character" w:customStyle="1" w:styleId="Heading6Char">
    <w:name w:val="Heading 6 Char"/>
    <w:basedOn w:val="DefaultParagraphFont"/>
    <w:link w:val="Heading6"/>
    <w:locked/>
    <w:rsid w:val="00CB1536"/>
    <w:rPr>
      <w:szCs w:val="20"/>
      <w:lang w:eastAsia="fr-FR" w:bidi="fr-FR"/>
    </w:rPr>
  </w:style>
  <w:style w:type="character" w:customStyle="1" w:styleId="Heading7Char">
    <w:name w:val="Heading 7 Char"/>
    <w:basedOn w:val="DefaultParagraphFont"/>
    <w:link w:val="Heading7"/>
    <w:locked/>
    <w:rsid w:val="00CB1536"/>
    <w:rPr>
      <w:szCs w:val="20"/>
      <w:lang w:eastAsia="fr-FR" w:bidi="fr-FR"/>
    </w:rPr>
  </w:style>
  <w:style w:type="character" w:customStyle="1" w:styleId="Heading8Char">
    <w:name w:val="Heading 8 Char"/>
    <w:basedOn w:val="DefaultParagraphFont"/>
    <w:link w:val="Heading8"/>
    <w:locked/>
    <w:rsid w:val="00CB1536"/>
    <w:rPr>
      <w:szCs w:val="20"/>
      <w:lang w:eastAsia="fr-FR" w:bidi="fr-FR"/>
    </w:rPr>
  </w:style>
  <w:style w:type="character" w:customStyle="1" w:styleId="Heading9Char">
    <w:name w:val="Heading 9 Char"/>
    <w:basedOn w:val="DefaultParagraphFont"/>
    <w:link w:val="Heading9"/>
    <w:locked/>
    <w:rsid w:val="00CB1536"/>
    <w:rPr>
      <w:szCs w:val="20"/>
      <w:lang w:eastAsia="fr-FR" w:bidi="fr-FR"/>
    </w:rPr>
  </w:style>
  <w:style w:type="paragraph" w:styleId="Footer">
    <w:name w:val="footer"/>
    <w:basedOn w:val="Normal"/>
    <w:link w:val="FooterChar"/>
    <w:rsid w:val="002131AE"/>
  </w:style>
  <w:style w:type="character" w:customStyle="1" w:styleId="FooterChar">
    <w:name w:val="Footer Char"/>
    <w:basedOn w:val="DefaultParagraphFont"/>
    <w:link w:val="Footer"/>
    <w:locked/>
    <w:rsid w:val="00CB1536"/>
    <w:rPr>
      <w:szCs w:val="20"/>
    </w:rPr>
  </w:style>
  <w:style w:type="paragraph" w:styleId="FootnoteText">
    <w:name w:val="footnote text"/>
    <w:basedOn w:val="Normal"/>
    <w:link w:val="FootnoteTextChar"/>
    <w:rsid w:val="002131AE"/>
    <w:pPr>
      <w:keepLines/>
      <w:spacing w:after="60" w:line="240" w:lineRule="auto"/>
      <w:ind w:left="720" w:hanging="720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locked/>
    <w:rsid w:val="00CB1536"/>
    <w:rPr>
      <w:sz w:val="16"/>
      <w:szCs w:val="20"/>
      <w:lang w:eastAsia="fr-FR" w:bidi="fr-FR"/>
    </w:rPr>
  </w:style>
  <w:style w:type="paragraph" w:styleId="Header">
    <w:name w:val="header"/>
    <w:basedOn w:val="Normal"/>
    <w:link w:val="HeaderChar"/>
    <w:rsid w:val="002131AE"/>
  </w:style>
  <w:style w:type="character" w:customStyle="1" w:styleId="HeaderChar">
    <w:name w:val="Header Char"/>
    <w:basedOn w:val="DefaultParagraphFont"/>
    <w:link w:val="Header"/>
    <w:locked/>
    <w:rsid w:val="00CB1536"/>
    <w:rPr>
      <w:szCs w:val="20"/>
    </w:rPr>
  </w:style>
  <w:style w:type="character" w:styleId="Hyperlink">
    <w:name w:val="Hyperlink"/>
    <w:basedOn w:val="DefaultParagraphFont"/>
    <w:uiPriority w:val="99"/>
    <w:rsid w:val="00934C10"/>
    <w:rPr>
      <w:color w:val="0000FF"/>
      <w:u w:val="single"/>
    </w:rPr>
  </w:style>
  <w:style w:type="character" w:styleId="FootnoteReference">
    <w:name w:val="footnote reference"/>
    <w:basedOn w:val="DefaultParagraphFont"/>
    <w:rsid w:val="002131AE"/>
    <w:rPr>
      <w:sz w:val="24"/>
      <w:vertAlign w:val="superscript"/>
    </w:rPr>
  </w:style>
  <w:style w:type="character" w:styleId="FollowedHyperlink">
    <w:name w:val="FollowedHyperlink"/>
    <w:basedOn w:val="DefaultParagraphFont"/>
    <w:uiPriority w:val="99"/>
    <w:rsid w:val="00934C10"/>
    <w:rPr>
      <w:color w:val="800080"/>
      <w:u w:val="single"/>
    </w:rPr>
  </w:style>
  <w:style w:type="paragraph" w:customStyle="1" w:styleId="LOGO">
    <w:name w:val="LOGO"/>
    <w:basedOn w:val="Normal"/>
    <w:uiPriority w:val="99"/>
    <w:rsid w:val="00934C10"/>
    <w:pPr>
      <w:jc w:val="center"/>
    </w:pPr>
    <w:rPr>
      <w:rFonts w:ascii="Arial" w:hAnsi="Arial" w:cs="Arial"/>
      <w:b/>
      <w:bCs/>
      <w:i/>
      <w:iCs/>
      <w:sz w:val="20"/>
    </w:rPr>
  </w:style>
  <w:style w:type="paragraph" w:styleId="Revision">
    <w:name w:val="Revision"/>
    <w:hidden/>
    <w:uiPriority w:val="99"/>
    <w:semiHidden/>
    <w:rsid w:val="00B2372C"/>
  </w:style>
  <w:style w:type="table" w:styleId="TableGrid">
    <w:name w:val="Table Grid"/>
    <w:basedOn w:val="TableNormal"/>
    <w:locked/>
    <w:rsid w:val="00EB1E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3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4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customXml" Target="../customXml/item1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29" Type="http://schemas.openxmlformats.org/officeDocument/2006/relationships/customXml" Target="../customXml/item4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customXml" Target="../customXml/item3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xUriServ/LexUriServ.do?uri=OJ:C:2019:240:SOM:CS:HTML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Normal.dotm" TargetMode="External" Id="relationI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B2B329A7DAC4C144A75447C3256C027E" ma:contentTypeVersion="5" ma:contentTypeDescription="Defines the documents for Document Manager V2" ma:contentTypeScope="" ma:versionID="0d91993552fe3556fbffcde22d41e5eb">
  <xsd:schema xmlns:xsd="http://www.w3.org/2001/XMLSchema" xmlns:xs="http://www.w3.org/2001/XMLSchema" xmlns:p="http://schemas.microsoft.com/office/2006/metadata/properties" xmlns:ns2="cda99570-6012-4083-bfeb-7d32ad1ce1a3" xmlns:ns3="http://schemas.microsoft.com/sharepoint/v3/fields" xmlns:ns4="fe314fe7-af03-4a89-9224-0704990312b2" targetNamespace="http://schemas.microsoft.com/office/2006/metadata/properties" ma:root="true" ma:fieldsID="8ecbf314780697a2217be5444707e891" ns2:_="" ns3:_="" ns4:_="">
    <xsd:import namespace="cda99570-6012-4083-bfeb-7d32ad1ce1a3"/>
    <xsd:import namespace="http://schemas.microsoft.com/sharepoint/v3/fields"/>
    <xsd:import namespace="fe314fe7-af03-4a89-9224-0704990312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  <xsd:element ref="ns2:OriginalSen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a99570-6012-4083-bfeb-7d32ad1ce1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0d0d295d-627a-4c5d-a1a5-11c9952cac30}" ma:internalName="TaxCatchAll" ma:showField="CatchAllData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0d0d295d-627a-4c5d-a1a5-11c9952cac30}" ma:internalName="TaxCatchAllLabel" ma:readOnly="true" ma:showField="CatchAllDataLabel" ma:web="cda99570-6012-4083-bfeb-7d32ad1ce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  <xsd:element name="OriginalSender" ma:index="47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314fe7-af03-4a89-9224-0704990312b2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da99570-6012-4083-bfeb-7d32ad1ce1a3">VV634QRNENMJ-592872750-7547</_dlc_DocId>
    <_dlc_DocIdUrl xmlns="cda99570-6012-4083-bfeb-7d32ad1ce1a3">
      <Url>http://dm2016/eesc/2020/_layouts/15/DocIdRedir.aspx?ID=VV634QRNENMJ-592872750-7547</Url>
      <Description>VV634QRNENMJ-592872750-7547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</TermName>
          <TermId xmlns="http://schemas.microsoft.com/office/infopath/2007/PartnerControls">a4cc1d15-fb08-4679-ad46-e4e0cba5fe92</TermId>
        </TermInfo>
      </Terms>
    </DocumentType_0>
    <Procedure xmlns="cda99570-6012-4083-bfeb-7d32ad1ce1a3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cda99570-6012-4083-bfeb-7d32ad1ce1a3">2021-04-12T12:00:00+00:00</ProductionDate>
    <DocumentNumber xmlns="fe314fe7-af03-4a89-9224-0704990312b2">4884</DocumentNumber>
    <FicheYear xmlns="cda99570-6012-4083-bfeb-7d32ad1ce1a3" xsi:nil="true"/>
    <DocumentVersion xmlns="cda99570-6012-4083-bfeb-7d32ad1ce1a3">1</DocumentVersion>
    <DossierNumber xmlns="cda99570-6012-4083-bfeb-7d32ad1ce1a3">723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cda99570-6012-4083-bfeb-7d32ad1ce1a3" xsi:nil="true"/>
    <TaxCatchAll xmlns="cda99570-6012-4083-bfeb-7d32ad1ce1a3">
      <Value>70</Value>
      <Value>69</Value>
      <Value>48</Value>
      <Value>47</Value>
      <Value>46</Value>
      <Value>45</Value>
      <Value>44</Value>
      <Value>43</Value>
      <Value>41</Value>
      <Value>40</Value>
      <Value>39</Value>
      <Value>38</Value>
      <Value>36</Value>
      <Value>34</Value>
      <Value>32</Value>
      <Value>31</Value>
      <Value>30</Value>
      <Value>29</Value>
      <Value>28</Value>
      <Value>24</Value>
      <Value>16</Value>
      <Value>13</Value>
      <Value>11</Value>
      <Value>10</Value>
      <Value>9</Value>
      <Value>6</Value>
      <Value>5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</Terms>
    </DocumentLanguage_0>
    <Rapporteur xmlns="cda99570-6012-4083-bfeb-7d32ad1ce1a3">PLOSCEANU &amp; COULON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cda99570-6012-4083-bfeb-7d32ad1ce1a3">2020</DocumentYear>
    <FicheNumber xmlns="cda99570-6012-4083-bfeb-7d32ad1ce1a3">4962</FicheNumber>
    <DocumentPart xmlns="cda99570-6012-4083-bfeb-7d32ad1ce1a3">0</DocumentPart>
    <AdoptionDate xmlns="cda99570-6012-4083-bfeb-7d32ad1ce1a3">2021-02-24T12:00:00+00:00</AdoptionDate>
    <RequestingService xmlns="cda99570-6012-4083-bfeb-7d32ad1ce1a3">Transports, énergie, infrastructures, société de l'information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GA</TermName>
          <TermId xmlns="http://schemas.microsoft.com/office/infopath/2007/PartnerControls">762d2456-c427-4ecb-b312-af3dad8e258c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</Terms>
    </OriginalLanguage_0>
    <MeetingNumber xmlns="fe314fe7-af03-4a89-9224-0704990312b2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TEN</TermName>
          <TermId xmlns="http://schemas.microsoft.com/office/infopath/2007/PartnerControls">5e12260d-3aca-41f8-baf2-ad3d18475f10</TermId>
        </TermInfo>
      </Terms>
    </DossierName_0>
    <OriginalSender xmlns="cda99570-6012-4083-bfeb-7d32ad1ce1a3">
      <UserInfo>
        <DisplayName/>
        <AccountId xsi:nil="true"/>
        <AccountType/>
      </UserInfo>
    </OriginalSender>
  </documentManagement>
</p:properties>
</file>

<file path=customXml/itemProps1.xml><?xml version="1.0" encoding="utf-8"?>
<ds:datastoreItem xmlns:ds="http://schemas.openxmlformats.org/officeDocument/2006/customXml" ds:itemID="{F8ABEF57-CE5D-4CC0-B0F0-6080F3F3DBC8}"/>
</file>

<file path=customXml/itemProps2.xml><?xml version="1.0" encoding="utf-8"?>
<ds:datastoreItem xmlns:ds="http://schemas.openxmlformats.org/officeDocument/2006/customXml" ds:itemID="{B3972E43-B46B-4D69-AA41-416552FB9131}"/>
</file>

<file path=customXml/itemProps3.xml><?xml version="1.0" encoding="utf-8"?>
<ds:datastoreItem xmlns:ds="http://schemas.openxmlformats.org/officeDocument/2006/customXml" ds:itemID="{2D4CD114-7ACC-46CF-8DC0-186304592E2F}"/>
</file>

<file path=customXml/itemProps4.xml><?xml version="1.0" encoding="utf-8"?>
<ds:datastoreItem xmlns:ds="http://schemas.openxmlformats.org/officeDocument/2006/customXml" ds:itemID="{C21F0B7D-A08E-4439-8CAF-BB6893457E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2880</Words>
  <Characters>17296</Characters>
  <Application>Microsoft Office Word</Application>
  <DocSecurity>0</DocSecurity>
  <Lines>144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Renovační vlna pro Evropu</vt:lpstr>
      <vt:lpstr>European Agenda on Migration: Second implementation package - A permanent crisis relocation mechanism under the Dublin system</vt:lpstr>
    </vt:vector>
  </TitlesOfParts>
  <Company>CESE-CdR</Company>
  <LinksUpToDate>false</LinksUpToDate>
  <CharactersWithSpaces>20136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Renovační vlna pro Evropu</dc:title>
  <dc:subject>AC</dc:subject>
  <dc:creator>Emma Nieddu</dc:creator>
  <cp:keywords>EESC-2020-04884-00-01-AC-TRA-FR</cp:keywords>
  <dc:description>Rapporteur: PLOSCEANU &amp; COULON - Original language: FR - Date of document: 12/04/2021 - Date of meeting:  - External documents: COM(2020)662-final - Administrator: Mme JANICAUDNÉ BAZSIK Agota</dc:description>
  <cp:lastModifiedBy>Linda Kupcakova</cp:lastModifiedBy>
  <cp:revision>6</cp:revision>
  <cp:lastPrinted>2016-01-26T08:31:00Z</cp:lastPrinted>
  <dcterms:created xsi:type="dcterms:W3CDTF">2021-04-12T11:47:00Z</dcterms:created>
  <dcterms:modified xsi:type="dcterms:W3CDTF">2021-04-12T12:20:00Z</dcterms:modified>
  <cp:category>TEN/723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10/03/2021, 16/02/2021, 27/01/2021, 27/01/2021, 08/01/2021, 06/01/2021, 11/12/2020, 10/12/2020, 04/11/2015, 27/10/2015, 19/10/2015, 09/10/2015, 05/10/2015, 05/10/2015, 26/08/2015, 26/08/2015, 25/08/2015</vt:lpwstr>
  </property>
  <property fmtid="{D5CDD505-2E9C-101B-9397-08002B2CF9AE}" pid="4" name="Pref_Time">
    <vt:lpwstr>16:20:05, 14:35:57, 10:56:56, 10:38:31, 17:17:48, 09:39:59, 11:23:07, 12:56:36, 12:10:07, 14:44:02, 16:04:16, 14:09:30, 16:24:55, 16:04:02, 08:56:14, 07:27:56, 17:31:53</vt:lpwstr>
  </property>
  <property fmtid="{D5CDD505-2E9C-101B-9397-08002B2CF9AE}" pid="5" name="Pref_User">
    <vt:lpwstr>hnic, enied, hnic, YMUR, hnic, hnic, enied, hnic, ssex, enied, amett, tvoc, mreg, mreg, amett, enied, ssex</vt:lpwstr>
  </property>
  <property fmtid="{D5CDD505-2E9C-101B-9397-08002B2CF9AE}" pid="6" name="Pref_FileName">
    <vt:lpwstr>EESC-2020-04884-00-00-AC-TRA-FR-CRR.docx, EESC-2020-04884-00-00-AS-TRA-FR-CRR.docx, EESC-2020-04884-00-00-PA-TRA-EN-CRR.docx, EESC-2020-04884-00-00-PA-CRR-EN.docx, EESC-2020-04884-00-01-APA-TRA-FR-CRR.docx, EESC-2020-04884-00-00-APA-TRA-FR-CRR.docx, EESC-</vt:lpwstr>
  </property>
  <property fmtid="{D5CDD505-2E9C-101B-9397-08002B2CF9AE}" pid="7" name="ContentTypeId">
    <vt:lpwstr>0x010100EA97B91038054C99906057A708A1480A00B2B329A7DAC4C144A75447C3256C027E</vt:lpwstr>
  </property>
  <property fmtid="{D5CDD505-2E9C-101B-9397-08002B2CF9AE}" pid="8" name="_dlc_DocIdItemGuid">
    <vt:lpwstr>36e0dcbc-3db8-4618-89ed-2d8b5759046b</vt:lpwstr>
  </property>
  <property fmtid="{D5CDD505-2E9C-101B-9397-08002B2CF9AE}" pid="9" name="AvailableTranslations">
    <vt:lpwstr>32;#DA|5d49c027-8956-412b-aa16-e85a0f96ad0e;#24;#LV|46f7e311-5d9f-4663-b433-18aeccb7ace7;#9;#PL|1e03da61-4678-4e07-b136-b5024ca9197b;#40;#SV|c2ed69e7-a339-43d7-8f22-d93680a92aa0;#11;#FR|d2afafd3-4c81-4f60-8f52-ee33f2f54ff3;#31;#CS|72f9705b-0217-4fd3-bea2-cbc7ed80e26e;#34;#SL|98a412ae-eb01-49e9-ae3d-585a81724cfc;#10;#DE|f6b31e5a-26fa-4935-b661-318e46daf27e;#39;#HU|6b229040-c589-4408-b4c1-4285663d20a8;#47;#ET|ff6c3f4c-b02c-4c3c-ab07-2c37995a7a0a;#43;#HR|2f555653-ed1a-4fe6-8362-9082d95989e5;#13;#IT|0774613c-01ed-4e5d-a25d-11d2388de825;#44;#BG|1a1b3951-7821-4e6a-85f5-5673fc08bd2c;#30;#LT|a7ff5ce7-6123-4f68-865a-a57c31810414;#4;#EN|f2175f21-25d7-44a3-96da-d6a61b075e1b;#48;#RO|feb747a2-64cd-4299-af12-4833ddc30497;#16;#ES|e7a6b05b-ae16-40c8-add9-68b64b03aeba;#46;#SK|46d9fce0-ef79-4f71-b89b-cd6aa82426b8;#38;#EL|6d4f4d51-af9b-4650-94b4-4276bee85c91;#29;#PT|50ccc04a-eadd-42ae-a0cb-acaf45f812ba;#36;#MT|7df99101-6854-4a26-b53a-b88c0da02c26;#69;#GA|762d2456-c427-4ecb-b312-af3dad8e258c;#41;#NL|55c6556c-b4f4-441d-9acf-c498d4f838bd;#45;#FI|87606a43-d45f-42d6-b8c9-e1a3457db5b7</vt:lpwstr>
  </property>
  <property fmtid="{D5CDD505-2E9C-101B-9397-08002B2CF9AE}" pid="10" name="DocumentType_0">
    <vt:lpwstr>AC|a4cc1d15-fb08-4679-ad46-e4e0cba5fe92</vt:lpwstr>
  </property>
  <property fmtid="{D5CDD505-2E9C-101B-9397-08002B2CF9AE}" pid="11" name="DossierName_0">
    <vt:lpwstr>TEN|5e12260d-3aca-41f8-baf2-ad3d18475f10</vt:lpwstr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4884</vt:i4>
  </property>
  <property fmtid="{D5CDD505-2E9C-101B-9397-08002B2CF9AE}" pid="14" name="DocumentVersion">
    <vt:i4>1</vt:i4>
  </property>
  <property fmtid="{D5CDD505-2E9C-101B-9397-08002B2CF9AE}" pid="15" name="DossierNumber">
    <vt:i4>723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0</vt:i4>
  </property>
  <property fmtid="{D5CDD505-2E9C-101B-9397-08002B2CF9AE}" pid="18" name="DossierName">
    <vt:lpwstr>28;#TEN|5e12260d-3aca-41f8-baf2-ad3d18475f10</vt:lpwstr>
  </property>
  <property fmtid="{D5CDD505-2E9C-101B-9397-08002B2CF9AE}" pid="19" name="DocumentSource">
    <vt:lpwstr>1;#EESC|422833ec-8d7e-4e65-8e4e-8bed07ffb729</vt:lpwstr>
  </property>
  <property fmtid="{D5CDD505-2E9C-101B-9397-08002B2CF9AE}" pid="20" name="AdoptionDate">
    <vt:filetime>2021-02-24T12:00:00Z</vt:filetime>
  </property>
  <property fmtid="{D5CDD505-2E9C-101B-9397-08002B2CF9AE}" pid="21" name="DocumentType">
    <vt:lpwstr>70;#AC|a4cc1d15-fb08-4679-ad46-e4e0cba5fe92</vt:lpwstr>
  </property>
  <property fmtid="{D5CDD505-2E9C-101B-9397-08002B2CF9AE}" pid="22" name="RequestingService">
    <vt:lpwstr>Transports, énergie, infrastructures, société de l'information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11;#FR|d2afafd3-4c81-4f60-8f52-ee33f2f54ff3</vt:lpwstr>
  </property>
  <property fmtid="{D5CDD505-2E9C-101B-9397-08002B2CF9AE}" pid="27" name="MeetingName">
    <vt:lpwstr/>
  </property>
  <property fmtid="{D5CDD505-2E9C-101B-9397-08002B2CF9AE}" pid="29" name="AvailableTranslations_0">
    <vt:lpwstr>FR|d2afafd3-4c81-4f60-8f52-ee33f2f54ff3;SL|98a412ae-eb01-49e9-ae3d-585a81724cfc;ES|e7a6b05b-ae16-40c8-add9-68b64b03aeba;EL|6d4f4d51-af9b-4650-94b4-4276bee85c91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FR|d2afafd3-4c81-4f60-8f52-ee33f2f54ff3</vt:lpwstr>
  </property>
  <property fmtid="{D5CDD505-2E9C-101B-9397-08002B2CF9AE}" pid="32" name="TaxCatchAll">
    <vt:lpwstr>34;#SL|98a412ae-eb01-49e9-ae3d-585a81724cfc;#28;#TEN|5e12260d-3aca-41f8-baf2-ad3d18475f10;#11;#FR|d2afafd3-4c81-4f60-8f52-ee33f2f54ff3;#6;#Final|ea5e6674-7b27-4bac-b091-73adbb394efe;#5;#Unrestricted|826e22d7-d029-4ec0-a450-0c28ff673572;#38;#EL|6d4f4d51-af9b-4650-94b4-4276bee85c91;#16;#ES|e7a6b05b-ae16-40c8-add9-68b64b03aeba;#2;#TRA|150d2a88-1431-44e6-a8ca-0bb753ab8672;#1;#EESC|422833ec-8d7e-4e65-8e4e-8bed07ffb729;#70;#AC|a4cc1d15-fb08-4679-ad46-e4e0cba5fe92</vt:lpwstr>
  </property>
  <property fmtid="{D5CDD505-2E9C-101B-9397-08002B2CF9AE}" pid="33" name="Rapporteur">
    <vt:lpwstr>PLOSCEANU &amp; COULON</vt:lpwstr>
  </property>
  <property fmtid="{D5CDD505-2E9C-101B-9397-08002B2CF9AE}" pid="34" name="VersionStatus_0">
    <vt:lpwstr>Final|ea5e6674-7b27-4bac-b091-73adbb394efe</vt:lpwstr>
  </property>
  <property fmtid="{D5CDD505-2E9C-101B-9397-08002B2CF9AE}" pid="35" name="VersionStatus">
    <vt:lpwstr>6;#Final|ea5e6674-7b27-4bac-b091-73adbb394efe</vt:lpwstr>
  </property>
  <property fmtid="{D5CDD505-2E9C-101B-9397-08002B2CF9AE}" pid="36" name="DocumentYear">
    <vt:i4>2020</vt:i4>
  </property>
  <property fmtid="{D5CDD505-2E9C-101B-9397-08002B2CF9AE}" pid="37" name="FicheNumber">
    <vt:i4>4962</vt:i4>
  </property>
  <property fmtid="{D5CDD505-2E9C-101B-9397-08002B2CF9AE}" pid="38" name="DocumentLanguage">
    <vt:lpwstr>31;#CS|72f9705b-0217-4fd3-bea2-cbc7ed80e26e</vt:lpwstr>
  </property>
  <property fmtid="{D5CDD505-2E9C-101B-9397-08002B2CF9AE}" pid="39" name="_docset_NoMedatataSyncRequired">
    <vt:lpwstr>False</vt:lpwstr>
  </property>
</Properties>
</file>