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1B2543" w:rsidR="009C268F" w:rsidP="004D45B4" w:rsidRDefault="006A24E4">
      <w:pPr>
        <w:overflowPunct/>
        <w:adjustRightInd/>
        <w:jc w:val="center"/>
        <w:textAlignment w:val="auto"/>
      </w:pPr>
      <w:bookmarkStart w:name="_GoBack" w:id="0"/>
      <w:bookmarkEnd w:id="0"/>
      <w:r>
        <w:rPr>
          <w:noProof/>
          <w:lang w:val="en-US" w:eastAsia="en-US" w:bidi="ar-SA"/>
        </w:rPr>
        <w:drawing>
          <wp:inline distT="0" distB="0" distL="0" distR="0">
            <wp:extent cx="1792605" cy="1241425"/>
            <wp:effectExtent l="0" t="0" r="0" b="0"/>
            <wp:docPr id="2" name="Picture 2" title="EESCLogo_M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2605" cy="124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7B05">
        <w:rPr>
          <w:noProof/>
          <w:sz w:val="20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editId="78911A74" wp14:anchorId="268C89D9">
                <wp:simplePos x="0" y="0"/>
                <wp:positionH relativeFrom="page">
                  <wp:posOffset>6769100</wp:posOffset>
                </wp:positionH>
                <wp:positionV relativeFrom="page">
                  <wp:posOffset>10081260</wp:posOffset>
                </wp:positionV>
                <wp:extent cx="647700" cy="396240"/>
                <wp:effectExtent l="0" t="3810" r="3175" b="0"/>
                <wp:wrapNone/>
                <wp:docPr id="1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6A76A8" w:rsidR="009C268F" w:rsidP="009C268F" w:rsidRDefault="009C268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MT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268C89D9">
                <v:stroke joinstyle="miter"/>
                <v:path gradientshapeok="t" o:connecttype="rect"/>
              </v:shapetype>
              <v:shape id="Text Box 21" style="position:absolute;left:0;text-align:left;margin-left:533pt;margin-top:793.8pt;width:51pt;height:31.2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">
                <v:textbox>
                  <w:txbxContent>
                    <w:p w:rsidRPr="006A76A8" w:rsidR="009C268F" w:rsidP="009C268F" w:rsidRDefault="009C268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48"/>
                        </w:rPr>
                        <w:t>MT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Pr="001B2543" w:rsidR="009C268F" w:rsidP="004D45B4" w:rsidRDefault="009C268F">
      <w:pPr>
        <w:overflowPunct/>
        <w:adjustRightInd/>
        <w:textAlignment w:val="auto"/>
      </w:pPr>
    </w:p>
    <w:p w:rsidRPr="001B2543" w:rsidR="00FC4F4E" w:rsidP="004D45B4" w:rsidRDefault="00FC4F4E">
      <w:pPr>
        <w:overflowPunct/>
        <w:adjustRightInd/>
        <w:jc w:val="right"/>
        <w:textAlignment w:val="auto"/>
        <w:rPr>
          <w:b/>
        </w:rPr>
      </w:pPr>
      <w:r>
        <w:rPr>
          <w:b/>
        </w:rPr>
        <w:t>TEN/723</w:t>
      </w:r>
    </w:p>
    <w:p w:rsidRPr="001B2543" w:rsidR="009B30AA" w:rsidP="004D45B4" w:rsidRDefault="00FC4F4E">
      <w:pPr>
        <w:overflowPunct/>
        <w:adjustRightInd/>
        <w:jc w:val="right"/>
        <w:textAlignment w:val="auto"/>
      </w:pPr>
      <w:r>
        <w:rPr>
          <w:b/>
        </w:rPr>
        <w:t>Mewġa ta’ rinnovazzjoni għall-Ewropa</w:t>
      </w:r>
    </w:p>
    <w:p w:rsidRPr="001B2543" w:rsidR="009B30AA" w:rsidP="004D45B4" w:rsidRDefault="009B30AA">
      <w:pPr>
        <w:overflowPunct/>
        <w:adjustRightInd/>
        <w:textAlignment w:val="auto"/>
      </w:pPr>
    </w:p>
    <w:p w:rsidRPr="001B2543" w:rsidR="008630EB" w:rsidP="004D45B4" w:rsidRDefault="008630EB">
      <w:pPr>
        <w:overflowPunct/>
        <w:adjustRightInd/>
        <w:textAlignment w:val="auto"/>
      </w:pPr>
    </w:p>
    <w:p w:rsidRPr="001B2543" w:rsidR="008630EB" w:rsidP="004D45B4" w:rsidRDefault="008630EB">
      <w:pPr>
        <w:overflowPunct/>
        <w:adjustRightInd/>
        <w:textAlignment w:val="auto"/>
      </w:pPr>
    </w:p>
    <w:p w:rsidRPr="001B2543" w:rsidR="005D1416" w:rsidP="004D45B4" w:rsidRDefault="005C64B1">
      <w:pPr>
        <w:overflowPunct/>
        <w:adjustRightInd/>
        <w:jc w:val="center"/>
        <w:textAlignment w:val="auto"/>
        <w:rPr>
          <w:b/>
        </w:rPr>
      </w:pPr>
      <w:r>
        <w:rPr>
          <w:b/>
          <w:sz w:val="28"/>
        </w:rPr>
        <w:t>OPINJONI</w:t>
      </w:r>
      <w:r>
        <w:br/>
      </w:r>
      <w:r>
        <w:br/>
        <w:t>Kumitat Ekonomiku u Soċjali Ewropew</w:t>
      </w:r>
      <w:r>
        <w:br/>
      </w:r>
      <w:r>
        <w:rPr>
          <w:b/>
        </w:rPr>
        <w:br/>
        <w:t xml:space="preserve">Komunikazzjoni tal-Kummissjoni lill-Parlament Ewropew, lill-Kunsill, </w:t>
      </w:r>
      <w:r>
        <w:rPr>
          <w:b/>
        </w:rPr>
        <w:br/>
        <w:t>lill-Kumitat Ekonomiku u Soċjali Ewropew u lill-Kumitat tar-Reġjuni</w:t>
      </w:r>
      <w:r>
        <w:rPr>
          <w:b/>
        </w:rPr>
        <w:br/>
        <w:t xml:space="preserve">Mewġa ta’ Rinnovazzjoni għall-Ewropa – </w:t>
      </w:r>
      <w:r>
        <w:rPr>
          <w:b/>
        </w:rPr>
        <w:br/>
        <w:t>l-ekoloġizzazzjoni tal-binjiet tagħna, il-ħolqien tal-impjiegi, it-titjib tal-ħajja</w:t>
      </w:r>
    </w:p>
    <w:p w:rsidRPr="001B2543" w:rsidR="00646AC2" w:rsidRDefault="00FF3759">
      <w:pPr>
        <w:overflowPunct/>
        <w:adjustRightInd/>
        <w:jc w:val="center"/>
        <w:textAlignment w:val="auto"/>
      </w:pPr>
      <w:r>
        <w:t>[COM(2020) 662 final]</w:t>
      </w:r>
    </w:p>
    <w:p w:rsidRPr="001B2543" w:rsidR="009B30AA" w:rsidRDefault="009B30AA">
      <w:pPr>
        <w:overflowPunct/>
        <w:adjustRightInd/>
        <w:jc w:val="center"/>
        <w:textAlignment w:val="auto"/>
      </w:pPr>
    </w:p>
    <w:p w:rsidRPr="001B2543" w:rsidR="00704FBB" w:rsidRDefault="007F5E0D">
      <w:pPr>
        <w:overflowPunct/>
        <w:adjustRightInd/>
        <w:jc w:val="center"/>
        <w:textAlignment w:val="auto"/>
        <w:rPr>
          <w:b/>
        </w:rPr>
      </w:pPr>
      <w:r>
        <w:t xml:space="preserve">Relatur: </w:t>
      </w:r>
      <w:r>
        <w:rPr>
          <w:b/>
        </w:rPr>
        <w:t>Pierre Jean COULON</w:t>
      </w:r>
    </w:p>
    <w:p w:rsidRPr="001B2543" w:rsidR="00FC4F4E" w:rsidRDefault="00FC4F4E">
      <w:pPr>
        <w:overflowPunct/>
        <w:adjustRightInd/>
        <w:jc w:val="center"/>
        <w:textAlignment w:val="auto"/>
        <w:rPr>
          <w:b/>
        </w:rPr>
      </w:pPr>
      <w:r>
        <w:t xml:space="preserve">Korelatur: </w:t>
      </w:r>
      <w:r>
        <w:rPr>
          <w:b/>
        </w:rPr>
        <w:t>Aurel Laurenţiu PLOSCEANU</w:t>
      </w:r>
    </w:p>
    <w:p w:rsidRPr="001B2543" w:rsidR="00E32DC6" w:rsidRDefault="00E32DC6"/>
    <w:p w:rsidRPr="001B2543" w:rsidR="00E32DC6" w:rsidRDefault="00E32DC6"/>
    <w:p w:rsidRPr="001B2543" w:rsidR="00E32DC6" w:rsidRDefault="00E32DC6">
      <w:pPr>
        <w:sectPr w:rsidRPr="001B2543" w:rsidR="00E32DC6" w:rsidSect="00AC5488">
          <w:footerReference w:type="default" r:id="rId12"/>
          <w:pgSz w:w="11907" w:h="16839" w:code="9"/>
          <w:pgMar w:top="1417" w:right="1417" w:bottom="1417" w:left="1417" w:header="709" w:footer="709" w:gutter="0"/>
          <w:pgNumType w:start="1"/>
          <w:cols w:space="720"/>
          <w:docGrid w:linePitch="299"/>
        </w:sectPr>
      </w:pPr>
    </w:p>
    <w:tbl>
      <w:tblPr>
        <w:tblW w:w="9073" w:type="dxa"/>
        <w:tblLook w:val="04A0" w:firstRow="1" w:lastRow="0" w:firstColumn="1" w:lastColumn="0" w:noHBand="0" w:noVBand="1"/>
      </w:tblPr>
      <w:tblGrid>
        <w:gridCol w:w="3058"/>
        <w:gridCol w:w="6015"/>
      </w:tblGrid>
      <w:tr w:rsidRPr="001B2543" w:rsidR="0011656A" w:rsidTr="004D67C0">
        <w:tc>
          <w:tcPr>
            <w:tcW w:w="3058" w:type="dxa"/>
          </w:tcPr>
          <w:p w:rsidRPr="001B2543" w:rsidR="0011656A" w:rsidP="006A76A8" w:rsidRDefault="0090053A">
            <w:pPr>
              <w:overflowPunct/>
              <w:adjustRightInd/>
              <w:jc w:val="left"/>
              <w:textAlignment w:val="auto"/>
              <w:rPr>
                <w:szCs w:val="22"/>
              </w:rPr>
            </w:pPr>
            <w:r>
              <w:lastRenderedPageBreak/>
              <w:t xml:space="preserve">Konsultazzjoni </w:t>
            </w:r>
          </w:p>
        </w:tc>
        <w:tc>
          <w:tcPr>
            <w:tcW w:w="6015" w:type="dxa"/>
          </w:tcPr>
          <w:p w:rsidRPr="001B2543" w:rsidR="0011656A" w:rsidRDefault="00540D07">
            <w:pPr>
              <w:overflowPunct/>
              <w:adjustRightInd/>
              <w:jc w:val="left"/>
              <w:textAlignment w:val="auto"/>
              <w:rPr>
                <w:szCs w:val="22"/>
              </w:rPr>
            </w:pPr>
            <w:r>
              <w:t>Kummissjoni Ewropea, 11/11/2020</w:t>
            </w:r>
          </w:p>
        </w:tc>
      </w:tr>
      <w:tr w:rsidRPr="001B2543" w:rsidR="0016503F" w:rsidTr="004D67C0">
        <w:trPr>
          <w:trHeight w:val="251"/>
        </w:trPr>
        <w:tc>
          <w:tcPr>
            <w:tcW w:w="3058" w:type="dxa"/>
          </w:tcPr>
          <w:p w:rsidRPr="001B2543" w:rsidR="0016503F" w:rsidRDefault="0016503F">
            <w:pPr>
              <w:overflowPunct/>
              <w:adjustRightInd/>
              <w:jc w:val="left"/>
              <w:textAlignment w:val="auto"/>
              <w:rPr>
                <w:szCs w:val="22"/>
              </w:rPr>
            </w:pPr>
            <w:r>
              <w:t>Bażi legali</w:t>
            </w:r>
          </w:p>
        </w:tc>
        <w:tc>
          <w:tcPr>
            <w:tcW w:w="6015" w:type="dxa"/>
          </w:tcPr>
          <w:p w:rsidRPr="001B2543" w:rsidR="0016503F" w:rsidP="00CC7A25" w:rsidRDefault="0016503F">
            <w:pPr>
              <w:overflowPunct/>
              <w:adjustRightInd/>
              <w:textAlignment w:val="auto"/>
              <w:rPr>
                <w:szCs w:val="22"/>
              </w:rPr>
            </w:pPr>
            <w:r>
              <w:t>Artikolu 304 tat-Trattat dwar il-Funzjonament tal-Unjoni Ewropea</w:t>
            </w:r>
          </w:p>
        </w:tc>
      </w:tr>
      <w:tr w:rsidRPr="001B2543" w:rsidR="00BA1290" w:rsidTr="004D67C0">
        <w:tc>
          <w:tcPr>
            <w:tcW w:w="3058" w:type="dxa"/>
          </w:tcPr>
          <w:p w:rsidRPr="001B2543" w:rsidR="00BA1290" w:rsidRDefault="00BA1290">
            <w:pPr>
              <w:overflowPunct/>
              <w:adjustRightInd/>
              <w:jc w:val="left"/>
              <w:textAlignment w:val="auto"/>
            </w:pPr>
          </w:p>
        </w:tc>
        <w:tc>
          <w:tcPr>
            <w:tcW w:w="6015" w:type="dxa"/>
          </w:tcPr>
          <w:p w:rsidRPr="001B2543" w:rsidR="00BA1290" w:rsidRDefault="00BA1290">
            <w:pPr>
              <w:overflowPunct/>
              <w:adjustRightInd/>
              <w:jc w:val="left"/>
              <w:textAlignment w:val="auto"/>
            </w:pPr>
          </w:p>
        </w:tc>
      </w:tr>
      <w:tr w:rsidRPr="001B2543" w:rsidR="00DF5B64" w:rsidTr="004D67C0">
        <w:tc>
          <w:tcPr>
            <w:tcW w:w="3058" w:type="dxa"/>
          </w:tcPr>
          <w:p w:rsidRPr="001B2543" w:rsidR="00DF5B64" w:rsidRDefault="00AD4B4F">
            <w:pPr>
              <w:overflowPunct/>
              <w:adjustRightInd/>
              <w:jc w:val="left"/>
              <w:textAlignment w:val="auto"/>
              <w:rPr>
                <w:szCs w:val="22"/>
              </w:rPr>
            </w:pPr>
            <w:r>
              <w:t>Sezzjoni kompetenti</w:t>
            </w:r>
          </w:p>
        </w:tc>
        <w:tc>
          <w:tcPr>
            <w:tcW w:w="6015" w:type="dxa"/>
          </w:tcPr>
          <w:p w:rsidRPr="001B2543" w:rsidR="00DF5B64" w:rsidRDefault="00D36954">
            <w:pPr>
              <w:overflowPunct/>
              <w:adjustRightInd/>
              <w:jc w:val="left"/>
              <w:textAlignment w:val="auto"/>
              <w:rPr>
                <w:szCs w:val="22"/>
              </w:rPr>
            </w:pPr>
            <w:r>
              <w:t>Sezzjoni għat-Trasport, l-Enerġija, l-Infrastruttura u s-Soċjetà tal-Informazzjoni</w:t>
            </w:r>
          </w:p>
        </w:tc>
      </w:tr>
      <w:tr w:rsidRPr="001B2543" w:rsidR="00A156E6" w:rsidTr="004D67C0">
        <w:tc>
          <w:tcPr>
            <w:tcW w:w="3058" w:type="dxa"/>
          </w:tcPr>
          <w:p w:rsidRPr="001B2543" w:rsidR="00A156E6" w:rsidRDefault="00A156E6">
            <w:pPr>
              <w:overflowPunct/>
              <w:adjustRightInd/>
              <w:jc w:val="left"/>
              <w:textAlignment w:val="auto"/>
              <w:rPr>
                <w:szCs w:val="22"/>
              </w:rPr>
            </w:pPr>
            <w:r>
              <w:t>Adottata fis-sezzjoni</w:t>
            </w:r>
          </w:p>
        </w:tc>
        <w:tc>
          <w:tcPr>
            <w:tcW w:w="6015" w:type="dxa"/>
          </w:tcPr>
          <w:p w:rsidRPr="001B2543" w:rsidR="00A156E6" w:rsidRDefault="00540D07">
            <w:pPr>
              <w:overflowPunct/>
              <w:adjustRightInd/>
              <w:jc w:val="left"/>
              <w:textAlignment w:val="auto"/>
              <w:rPr>
                <w:szCs w:val="22"/>
              </w:rPr>
            </w:pPr>
            <w:r>
              <w:t>11/02/2021</w:t>
            </w:r>
          </w:p>
        </w:tc>
      </w:tr>
      <w:tr w:rsidRPr="001B2543" w:rsidR="00A156E6" w:rsidTr="004D67C0">
        <w:tc>
          <w:tcPr>
            <w:tcW w:w="3058" w:type="dxa"/>
          </w:tcPr>
          <w:p w:rsidRPr="001B2543" w:rsidR="00A156E6" w:rsidRDefault="00A156E6">
            <w:pPr>
              <w:overflowPunct/>
              <w:adjustRightInd/>
              <w:jc w:val="left"/>
              <w:textAlignment w:val="auto"/>
              <w:rPr>
                <w:szCs w:val="22"/>
              </w:rPr>
            </w:pPr>
            <w:r>
              <w:t>Adottata fil-plenarja</w:t>
            </w:r>
          </w:p>
        </w:tc>
        <w:tc>
          <w:tcPr>
            <w:tcW w:w="6015" w:type="dxa"/>
          </w:tcPr>
          <w:p w:rsidRPr="001B2543" w:rsidR="00A156E6" w:rsidRDefault="00466A19">
            <w:pPr>
              <w:overflowPunct/>
              <w:adjustRightInd/>
              <w:jc w:val="left"/>
              <w:textAlignment w:val="auto"/>
              <w:rPr>
                <w:szCs w:val="22"/>
              </w:rPr>
            </w:pPr>
            <w:r>
              <w:t>24/02/2021</w:t>
            </w:r>
          </w:p>
        </w:tc>
      </w:tr>
      <w:tr w:rsidRPr="001B2543" w:rsidR="00BA1290" w:rsidTr="004D67C0">
        <w:tc>
          <w:tcPr>
            <w:tcW w:w="3058" w:type="dxa"/>
          </w:tcPr>
          <w:p w:rsidRPr="001B2543" w:rsidR="00BA1290" w:rsidRDefault="008053E9">
            <w:pPr>
              <w:overflowPunct/>
              <w:adjustRightInd/>
              <w:jc w:val="left"/>
              <w:textAlignment w:val="auto"/>
              <w:rPr>
                <w:szCs w:val="22"/>
              </w:rPr>
            </w:pPr>
            <w:r>
              <w:t>Sessjoni plenarja Nru</w:t>
            </w:r>
          </w:p>
        </w:tc>
        <w:tc>
          <w:tcPr>
            <w:tcW w:w="6015" w:type="dxa"/>
          </w:tcPr>
          <w:p w:rsidRPr="001B2543" w:rsidR="00BA1290" w:rsidRDefault="00466A19">
            <w:pPr>
              <w:overflowPunct/>
              <w:adjustRightInd/>
              <w:jc w:val="left"/>
              <w:textAlignment w:val="auto"/>
              <w:rPr>
                <w:szCs w:val="22"/>
              </w:rPr>
            </w:pPr>
            <w:r>
              <w:t>558</w:t>
            </w:r>
          </w:p>
        </w:tc>
      </w:tr>
      <w:tr w:rsidRPr="001B2543" w:rsidR="00A156E6" w:rsidTr="004D67C0">
        <w:tc>
          <w:tcPr>
            <w:tcW w:w="3058" w:type="dxa"/>
          </w:tcPr>
          <w:p w:rsidRPr="001B2543" w:rsidR="00D423D4" w:rsidRDefault="0043024C">
            <w:pPr>
              <w:overflowPunct/>
              <w:adjustRightInd/>
              <w:jc w:val="left"/>
            </w:pPr>
            <w:r>
              <w:t>Riżultat tal-votazzjoni</w:t>
            </w:r>
            <w:r>
              <w:br/>
              <w:t>(favur/kontra/astensjonijiet)</w:t>
            </w:r>
          </w:p>
        </w:tc>
        <w:tc>
          <w:tcPr>
            <w:tcW w:w="6015" w:type="dxa"/>
            <w:vAlign w:val="bottom"/>
          </w:tcPr>
          <w:p w:rsidRPr="001B2543" w:rsidR="00A156E6" w:rsidRDefault="00466A19">
            <w:pPr>
              <w:overflowPunct/>
              <w:adjustRightInd/>
              <w:jc w:val="left"/>
              <w:textAlignment w:val="auto"/>
              <w:rPr>
                <w:szCs w:val="22"/>
              </w:rPr>
            </w:pPr>
            <w:r>
              <w:t>212/0/5</w:t>
            </w:r>
          </w:p>
        </w:tc>
      </w:tr>
    </w:tbl>
    <w:p w:rsidRPr="001B2543" w:rsidR="0090053A" w:rsidRDefault="0090053A">
      <w:pPr>
        <w:overflowPunct/>
        <w:adjustRightInd/>
        <w:textAlignment w:val="auto"/>
      </w:pPr>
    </w:p>
    <w:p w:rsidRPr="001B2543" w:rsidR="00646AC2" w:rsidRDefault="00646AC2">
      <w:pPr>
        <w:overflowPunct/>
        <w:adjustRightInd/>
        <w:textAlignment w:val="auto"/>
      </w:pPr>
      <w:r>
        <w:br w:type="page"/>
      </w:r>
    </w:p>
    <w:p w:rsidRPr="001B2543" w:rsidR="00011D33" w:rsidRDefault="00011D33">
      <w:pPr>
        <w:pStyle w:val="Heading1"/>
        <w:keepNext/>
        <w:ind w:left="567" w:hanging="567"/>
        <w:rPr>
          <w:b/>
        </w:rPr>
      </w:pPr>
      <w:r>
        <w:rPr>
          <w:b/>
        </w:rPr>
        <w:lastRenderedPageBreak/>
        <w:t>Konklużjonijiet u rakkomandazzjonijiet</w:t>
      </w:r>
    </w:p>
    <w:p w:rsidRPr="001B2543" w:rsidR="00125CC8" w:rsidP="00CC7A25" w:rsidRDefault="00125CC8">
      <w:pPr>
        <w:keepNext/>
      </w:pPr>
    </w:p>
    <w:p w:rsidRPr="001B2543" w:rsidR="005C64B1" w:rsidRDefault="005C64B1">
      <w:pPr>
        <w:pStyle w:val="Heading2"/>
        <w:ind w:left="567" w:hanging="567"/>
      </w:pPr>
      <w:r>
        <w:t>Il-KESE jilqa' l-adozzjoni mill-Kummissjoni Ewropea ta' proposta għal Strateġija Ewropea bit-titolu “Mewġa ta' Rinnovazzjoni għall-Ewropa – l-ekoloġizzazzjoni tal-binjiet tagħna, il-ħolqien tal-impjiegi, it-titjib tal-ħajja”. Tali strateġija hija neċessità assoluta u inevitabbli għall-Unjoni Ewropea u ċ-ċittadini tagħha – strateġija li l-KESE għandu l-ħsieb li jappoġġja u jikkontribwixxi għaliha b'mod attiv fir-riflessjonijiet u l-proposti tiegħu.</w:t>
      </w:r>
    </w:p>
    <w:p w:rsidRPr="001B2543" w:rsidR="005C64B1" w:rsidP="00027E25" w:rsidRDefault="005C64B1"/>
    <w:p w:rsidRPr="001B2543" w:rsidR="005C64B1" w:rsidRDefault="005C64B1">
      <w:pPr>
        <w:pStyle w:val="Heading2"/>
        <w:ind w:left="567" w:hanging="567"/>
      </w:pPr>
      <w:r>
        <w:t>Il-KESE fil-fatt iqis li, b'40 % tal-konsum totali tal-enerġija tal-Unjoni Ewropea, l-akkomodazzjonijiet u binjiet oħra għandhom jesperjenzaw tali mewġa ta' rinnovazzjoni mmexxija mill-Unjoni Ewropea, bħala parti minn approċċ globali ta' investiment fit-tul, interess ġenerali, żvilupp sostenibbli, protezzjoni tas-saħħa inkluż it-trattament tal-asbestos f’dawn ix-xogħlijiet, tranżizzjoni ekoloġika u implimentazzjoni effettiva tal-Pilastru Ewropew tad-Drittijiet Soċjali fir-rigward tal-akkomodazzjoni sostenibbli u affordabbli.</w:t>
      </w:r>
    </w:p>
    <w:p w:rsidRPr="001B2543" w:rsidR="005C64B1" w:rsidP="00027E25" w:rsidRDefault="005C64B1"/>
    <w:p w:rsidRPr="001B2543" w:rsidR="005C64B1" w:rsidRDefault="005C64B1">
      <w:pPr>
        <w:pStyle w:val="Heading2"/>
        <w:ind w:left="567" w:hanging="567"/>
      </w:pPr>
      <w:r>
        <w:t>Il-KESE għalhekk jappoġġja l-istrateġija ta' mewġa ta' rinnovazzjoni peress li hija approċċ għall-Unjoni Ewropea fejn jirbaħ kulħadd, approċċ ta' rebħa tripla għall-klima, għall-irkupru permezz tal-impjiegi lokali maħluqa, u fl-aħħar nett għall-ġlieda kontra l-pandemija, kontra l-faqar enerġetiku u għall-promozzjoni ta' akkomodazzjonijiet affordabbli għal kulħadd, inklużi l-persuni vulnerabbli.</w:t>
      </w:r>
    </w:p>
    <w:p w:rsidRPr="001B2543" w:rsidR="005C64B1" w:rsidP="00027E25" w:rsidRDefault="005C64B1"/>
    <w:p w:rsidRPr="001B2543" w:rsidR="005C64B1" w:rsidRDefault="005C64B1">
      <w:pPr>
        <w:pStyle w:val="Heading2"/>
        <w:ind w:left="567" w:hanging="567"/>
      </w:pPr>
      <w:r>
        <w:t>Il-KESE jqis li din l-istrateġija, meta jitqiesu d-dimensjoni partikolari tagħha u t-trajettorja tagħha sal-2050, tirrikjedi li jkun hemm qafas legali u finanzjarju stabbli, ċar u adattat, kemm bl-implimentazzjoni ta' Fond Ewropew tal-Investiment apposta, pjani pluriennali ta' investiment, “semestru ekoloġiku” ġdid, kif ukoll bit-tfassil ta' qafas legali speċifiku u adattat dwar, pereżempju, l-għajnuna mill-Istat, ir-rati tal-VAT applikabbli, l-akkwist pubbliku, is-self ipotekarju “ekoloġiku” u standards dwar ir-rendiment tal-bini fl-użu tal-enerġija.</w:t>
      </w:r>
    </w:p>
    <w:p w:rsidRPr="001B2543" w:rsidR="005C64B1" w:rsidP="00027E25" w:rsidRDefault="005C64B1"/>
    <w:p w:rsidRPr="001B2543" w:rsidR="005C64B1" w:rsidRDefault="005C64B1">
      <w:pPr>
        <w:pStyle w:val="Heading2"/>
        <w:ind w:left="567" w:hanging="567"/>
      </w:pPr>
      <w:r>
        <w:t>Il-KESE jitlob lill-Kummissjoni timplimenta skemi li jinċentivaw il-ħolqien, fil-livell lokali, ta' setturi tal-industrijalizzazzjoni għall-proċessi ta' rinnovazzjoni termali u l-massifikazzjoni tagħhom, filwaqt li jiġi stabbilit “Erasmus tar-Rinnovazzjoni Termali 2050” ġdid, bl-għan li jattira liż-żgħażagħ Ewropej lejn dawn l-impjiegi ġodda tal-ġejjieni.</w:t>
      </w:r>
    </w:p>
    <w:p w:rsidRPr="001B2543" w:rsidR="005C64B1" w:rsidP="00027E25" w:rsidRDefault="005C64B1"/>
    <w:p w:rsidRPr="001B2543" w:rsidR="005C64B1" w:rsidRDefault="005C64B1">
      <w:pPr>
        <w:pStyle w:val="Heading2"/>
        <w:ind w:left="567" w:hanging="567"/>
      </w:pPr>
      <w:r>
        <w:t xml:space="preserve">Il-KESE jitlob ukoll li l-Istati Membri jitħeġġu jsegwu l-eżempju tal-programm ELENA tal-BEI u jimplimentaw servizzi pubbliċi ta' dijanjostika, għajnuna teknika u pariri, b'mod partikolari għall-unitajiet domestiċi, bl-għan li jiġi evitat kull prattika abbużiva ta’ kummerċjalizzazzjoni diretta u  ta’ truffa  tal-iskemi ta' appoġġ għar-rinnovazzjoni termali. </w:t>
      </w:r>
    </w:p>
    <w:p w:rsidRPr="001B2543" w:rsidR="005C64B1" w:rsidP="00027E25" w:rsidRDefault="005C64B1"/>
    <w:p w:rsidRPr="001B2543" w:rsidR="00125CC8" w:rsidRDefault="005C64B1">
      <w:pPr>
        <w:pStyle w:val="Heading2"/>
        <w:ind w:left="567" w:hanging="567"/>
      </w:pPr>
      <w:r>
        <w:t>Fuq kollox il-KESE jqis li din l-istrateġija għandha tippermetti lill-Unjoni Ewropea ssir eqreb taċ-ċittadini tagħha u tat-territorji tagħhom permezz ta' komunikazzjoni adattata tal-iskemi fis-seħħ u kif jistgħu jiġu aċċessati.</w:t>
      </w:r>
    </w:p>
    <w:p w:rsidRPr="001B2543" w:rsidR="006C6582" w:rsidRDefault="006C6582"/>
    <w:p w:rsidRPr="001B2543" w:rsidR="006C6582" w:rsidRDefault="006C6582">
      <w:pPr>
        <w:pStyle w:val="Heading2"/>
        <w:ind w:left="567" w:hanging="567"/>
      </w:pPr>
      <w:r>
        <w:t>Il-KESE jitlob sinerġija reali bejn l-Osservatorju tal-Istokk tal-Bini u l-Osservatorju tal-Faqar Enerġetiku.</w:t>
      </w:r>
    </w:p>
    <w:p w:rsidRPr="001B2543" w:rsidR="00125CC8" w:rsidRDefault="00125CC8"/>
    <w:p w:rsidRPr="001B2543" w:rsidR="00C14E0D" w:rsidRDefault="00C14E0D">
      <w:pPr>
        <w:pStyle w:val="Heading1"/>
        <w:keepNext/>
        <w:ind w:left="567" w:hanging="567"/>
        <w:rPr>
          <w:b/>
        </w:rPr>
      </w:pPr>
      <w:r>
        <w:rPr>
          <w:b/>
        </w:rPr>
        <w:lastRenderedPageBreak/>
        <w:t>Kummenti ġenerali</w:t>
      </w:r>
    </w:p>
    <w:p w:rsidRPr="001B2543" w:rsidR="00C14E0D" w:rsidP="00CC7A25" w:rsidRDefault="00C14E0D">
      <w:pPr>
        <w:keepNext/>
      </w:pPr>
    </w:p>
    <w:p w:rsidRPr="001B2543" w:rsidR="003E102C" w:rsidRDefault="003E102C">
      <w:pPr>
        <w:pStyle w:val="Heading2"/>
        <w:keepNext/>
        <w:ind w:left="567" w:hanging="567"/>
      </w:pPr>
      <w:r>
        <w:t>Il-KESE jilqa' l-adozzjoni mill-Kummissjoni Ewropea tal-Komunikazzjoni “Mewġa ta' Rinnovazzjoni għall-Ewropa - l-ekoloġizzazzjoni tal-binjiet tagħna, il-ħolqien tal-impjiegi, it-titjib tal-ħajja”. Ir-rinnovazzjoni fuq skala kbira tal-bini fl-Unjoni Ewropea – akkomodazzjonijiet privati u soċjali, binjiet pubbliċi u għal użu professjonali – illum hija neċessità assoluta, meta wieħed iqis l-insuffiċjenza strutturali tal-investimenti fit-tul f'dan il-qasam, u fil-konfront tal-konsegwenzi klimatiċi, ambjentali, ekonomiċi u soċjali, meta wieħed iqis l-ispejjeż tan-nuqqas ta' azzjoni f'dan il-qasam.</w:t>
      </w:r>
    </w:p>
    <w:p w:rsidRPr="001B2543" w:rsidR="003E102C" w:rsidP="00027E25" w:rsidRDefault="003E102C"/>
    <w:p w:rsidRPr="001B2543" w:rsidR="003E102C" w:rsidRDefault="003E102C">
      <w:pPr>
        <w:pStyle w:val="Heading2"/>
        <w:ind w:left="567" w:hanging="567"/>
      </w:pPr>
      <w:r>
        <w:t>Il-Kumitat jappoġġja din l-istrateġija proposta mill-Kummissjoni abbażi tal-objettiv tan-newtralità klimatika, l-applikazzjoni tal-prinċipju taċ-ċirkolarità, il-kontribut għall-għanijiet ta' żvilupp sostenibbli u għall-kompetittività tal-Ewropa, il-ħarsien tal-wirt kulturali u fuq kollox id-dritt ta' kull persuna għal akkomodazzjoni affordabbli, diċenti, aċċessibbli u sana, f'konformità mal-prinċipju 19 tal-Pilastru Ewroprew tad-Drittijiet Soċjali.</w:t>
      </w:r>
    </w:p>
    <w:p w:rsidRPr="001B2543" w:rsidR="003E102C" w:rsidP="00027E25" w:rsidRDefault="003E102C"/>
    <w:p w:rsidRPr="001B2543" w:rsidR="003E102C" w:rsidRDefault="003E102C">
      <w:pPr>
        <w:pStyle w:val="Heading2"/>
        <w:ind w:left="567" w:hanging="567"/>
      </w:pPr>
      <w:r>
        <w:t>B'40 % tal-konsum totali tal-enerġija tal-Unjoni Ewropea, l-akkomodazzjonijiet u binjiet oħra għandhom jesperjenzaw mewġa ta' rinnovazzjoni, bħala parti minn approċċ globali ta' investiment fit-tul, interess ġenerali, żvilupp sostenibbli u tranżizzjoni ekoloġika.</w:t>
      </w:r>
    </w:p>
    <w:p w:rsidRPr="001B2543" w:rsidR="003E102C" w:rsidP="00027E25" w:rsidRDefault="003E102C"/>
    <w:p w:rsidRPr="001B2543" w:rsidR="003E102C" w:rsidRDefault="003E102C">
      <w:pPr>
        <w:pStyle w:val="Heading2"/>
        <w:ind w:left="567" w:hanging="567"/>
      </w:pPr>
      <w:r>
        <w:t>Barra minn hekk il-pandemija enfasizzat ir-rwol ewlieni tal-akkomodazzjonijiet fil-ġestjoni tas-saħħa tal-kriżi u n-neċessità li jitqies mill-ġdid l-użu tagħhom, u b'konsegwenza ta' dan id-disinn tagħhom, meta wieħed iqis ir-restrizzjonijiet tal-lockdown.</w:t>
      </w:r>
    </w:p>
    <w:p w:rsidRPr="001B2543" w:rsidR="003E102C" w:rsidP="00027E25" w:rsidRDefault="003E102C"/>
    <w:p w:rsidRPr="001B2543" w:rsidR="003E102C" w:rsidRDefault="003E102C">
      <w:pPr>
        <w:pStyle w:val="Heading2"/>
        <w:ind w:left="567" w:hanging="567"/>
      </w:pPr>
      <w:r>
        <w:t>Il-pandemija fuq kollox issottolinjat ir-rabta inaċċettabbli bejn il-kundizzjonijiet sanitarji tal-akkomodazzjonijiet, il-faqar enerġetiku u r-reżiljenza għall-pandemija.</w:t>
      </w:r>
    </w:p>
    <w:p w:rsidRPr="001B2543" w:rsidR="003E102C" w:rsidP="00027E25" w:rsidRDefault="003E102C"/>
    <w:p w:rsidRPr="001B2543" w:rsidR="003E102C" w:rsidRDefault="003E102C">
      <w:pPr>
        <w:pStyle w:val="Heading2"/>
        <w:ind w:left="567" w:hanging="567"/>
      </w:pPr>
      <w:r>
        <w:t>Għalhekk, l-istrateġija ta' mewġa ta' rinnovazzjoni tal-binjiet hija parti minn approċċ fejn jirbaħ kulħadd permezz tal-importanza tal-kontribut effikaċi tagħha għall-ġlieda kontra t-tibdil fil-klima, tal-volum ta' investimenti fit-tul u tal-impjiegi lokali li tista' toħloq u li jistgħu jikkontribwixxu b'mod attiv għall-irkupru, kif ukoll għall-ġlieda kontra l-faqar enerġetiku u l-promozzjoni tal-koeżjoni u l-inklużjoni soċjali, permezz tal-iżvilupp ta' provvista ta' akkomodazzjonijiet affordabbli għaċ-ċittadini tal-Unjoni Ewropea.</w:t>
      </w:r>
    </w:p>
    <w:p w:rsidRPr="001B2543" w:rsidR="003E102C" w:rsidP="00027E25" w:rsidRDefault="003E102C"/>
    <w:p w:rsidRPr="001B2543" w:rsidR="005C64B1" w:rsidRDefault="003E102C">
      <w:pPr>
        <w:pStyle w:val="Heading2"/>
        <w:ind w:left="567" w:hanging="567"/>
      </w:pPr>
      <w:r>
        <w:t xml:space="preserve">Il-mewġa ta' rinnovazzjoni tal-binjiet għandha, għalhekk, tkun ibbażata fuq l-irjieħat u l-kurrenti permanenti u konverġenti, kemm fil-qasam tar-regolamentazzjoni u l-għajnuna tal-Unjoni Ewropea kif ukoll fil-qasam tal-pjani pluriennali ta' investiment tal-Istati Membri. Dawn għandhom ikunu fl-istess ħin ċari u aċċessibbli filwaqt li jqisu d-diversità tal-atturi u l-loġika proprja tagħhom ta' investiment, li jvarjaw minn unitajiet domestiċi Ewropej li jokkupaw l-akkomodazzjoni tagħhom stess, assolutament jew f'koproprjetà, għal unitajiet domestiċi li jikru akkomodazzjoni(jiet) fis-suq, għal organizzazzjonijiet tal-akkomodazzjoni soċjali rregolati minn kompiti partikolari ta' interess ġenerali u l-obbligi tas-servizz pubbliku li jirriżultaw minnhom, għal awtoritajiet pubbliċi u l-binjiet pubbliċi tagħhom, għal bini storiku protett jew għal kumpaniji u l-proprjetà immobbli tagħhom. Is-“surfers” potenzjali fuq il-mewġa ta' rinnovazzjoni li jridu jiġu persważi jinvestu fit-tul fl-akkomodazzjonijiet tagħhom u bini ieħor minn issa sal-2050 permezz ta' mekkaniżmi ta' finanzjament adattati għan-natura tal-bini, li </w:t>
      </w:r>
      <w:r>
        <w:lastRenderedPageBreak/>
        <w:t xml:space="preserve">jgħaqqdu s-self fit-tul jew is-“self ekoloġiku”, il-garanziji pubbliċi u s-sussidji inevitabbli li ma jitħallsux lura b'mod partikolari għall-unitajiet domestiċi. </w:t>
      </w:r>
    </w:p>
    <w:p w:rsidRPr="001B2543" w:rsidR="005C64B1" w:rsidRDefault="005C64B1"/>
    <w:p w:rsidRPr="001B2543" w:rsidR="003E102C" w:rsidRDefault="005C64B1">
      <w:pPr>
        <w:pStyle w:val="Heading2"/>
        <w:ind w:left="567" w:hanging="567"/>
      </w:pPr>
      <w:r>
        <w:t>Il-mewġa ta' rinnovazzjoni tal-bini fuq kollox trid tkun immexxija minn moviment Ewropew lejn l-industrijalizzazzjoni u l-massifikazzjoni tal-operazzjonijiet fil-livell lokali, b'tali mod li jitnaqqsu l-ispejjeż tar-rinnovazzjoni u t-tul ta' żmien għat-twettiq tax-xogħlijiet għall-unitajiet domestiċi li jokkupaw l-akkomodazzjonijiet, permezz ta' esternalizzazzjoni tal-proċessi u d-diġitalizzazzjoni tagħhom. Din l-industrijalizzazzjoni għandha tkun akkumpanjata minn mudelli ta' kostruzzjoni ġodda bbażati fuq obbligi tekniki u standards tal-kostruzzjoni adatti, u fuq kollox minn kampanja Ewropea li tippromovi dan is-settur il-ġdid u dawn l-impjiegi ġodda potenzjali fost il-ġenerazzjonijiet żgħażagħ bit-tnedija ta' “Erasmus tar-Rinnovazzjoni Termali 2050”, li qed jitlob il-Kumitat. Għandha tingħata attenzjoni partikolari wkoll lir-riskji ta’ dumping soċjali inerenti f’esternalizzazzjonijiet bħal dawn u mezzi oħra ta’ subkuntrattar tax-xogħol.</w:t>
      </w:r>
    </w:p>
    <w:p w:rsidRPr="001B2543" w:rsidR="00F35DC5" w:rsidRDefault="00F35DC5"/>
    <w:p w:rsidRPr="001B2543" w:rsidR="003E102C" w:rsidRDefault="003E102C">
      <w:pPr>
        <w:pStyle w:val="Heading2"/>
        <w:ind w:left="567" w:hanging="567"/>
      </w:pPr>
      <w:r>
        <w:t>Il-Kummissjoni fl-istesss ħin għandha tiżgura l-konverġenza tad-dispożizzjonijiet eżistenti, id-dispożizzjonijiet li għandhom jiġu riveduti u l-proposti għal dispożizzjonijiet ġodda, mhux biss għall-benefiċċju tal-Istati Membri u l-istrateġiji ta' investiment fit-tul tagħhom, iżda wkoll għall-benefiċċju tal-unitajiet domestiċi, il-lokaturi soċjali, l-awtoritajiet pubbliċi u l-intrapriżi, li kollha jieħdu deċiżjonijiet finali fl-atti individwali tal-investiment fit-tul li se jsostnu l-mewġa sal-2050 skont il-loġika tagħhom.</w:t>
      </w:r>
    </w:p>
    <w:p w:rsidRPr="001B2543" w:rsidR="003E102C" w:rsidP="00027E25" w:rsidRDefault="003E102C"/>
    <w:p w:rsidRPr="001B2543" w:rsidR="003E102C" w:rsidRDefault="003E102C">
      <w:pPr>
        <w:pStyle w:val="Heading2"/>
        <w:ind w:left="567" w:hanging="567"/>
      </w:pPr>
      <w:r>
        <w:t>Din il-konverġenza neċessarja tapplika daqstant ieħor għar-reviżjonijiet tad-dispożizzjonijiet eżistenti, pereżempju, fir-rigward tad-Direttiva dwar ir-Rendiment tal-Bini fl-Użu tal-Enerġija, l-akkwist pubbliku jew l-iskemi ta' għajnuna mill-Istat, b’mod partikolari għall-akkomodazzjoni soċjali, ir-rata speċifika tal-VAT applikabbli, il-kreditu ipotekarju “ekoloġiku”, iżda wkoll id-dispożizzjonijiet u l-kundizzjonijiet tal-pjan Ewropew ta' rkupru Next Generation EU u l-politika ta' koeżjoni għall-2021-2027, li għandha tkun ċara għall-unitajiet domestiċi Ewropej fil-mira. Dan il-pjan ta’ rkupru għandu jingħata dinamika ġdida permezz ta' politika reali ta' proposti u rakkomandazzjonijiet konkreti kif ukoll permezz tal-koordinazzjoni tal-osservatorji nazzjonali eżistenti.</w:t>
      </w:r>
    </w:p>
    <w:p w:rsidRPr="001B2543" w:rsidR="003E102C" w:rsidRDefault="003E102C"/>
    <w:p w:rsidRPr="001B2543" w:rsidR="00011D33" w:rsidRDefault="00DA25A8">
      <w:pPr>
        <w:pStyle w:val="Heading2"/>
        <w:ind w:left="567" w:hanging="567"/>
      </w:pPr>
      <w:r>
        <w:t>Il-Kumitat jitlob li l-Osservatorju Ewropew tal-Istokk tal-Bini jaħdem f'sinerġija mal-Osservatorju tal-Faqar Enerġetiku.</w:t>
      </w:r>
    </w:p>
    <w:p w:rsidRPr="001B2543" w:rsidR="00DF4FFD" w:rsidP="00027E25" w:rsidRDefault="00DF4FFD"/>
    <w:p w:rsidRPr="001B2543" w:rsidR="004438F6" w:rsidRDefault="004438F6">
      <w:pPr>
        <w:pStyle w:val="Heading2"/>
        <w:ind w:left="567" w:hanging="567"/>
      </w:pPr>
      <w:r>
        <w:t>Il-Kumitat jitlob li jiġi stabbilit servizz pubbliku fl-Istati Membri għall-promozzjoni tal-mewġa ta' rinnovazzjoni termali, tad-dijanjostika u tal-assistenza teknika għal operazzjonijiet ta' rinnovazzjoni termali, b'mod partikolari fid-direzzjoni tal-unitajiet domestiċi, sabiex tiġi evitata kull prattika malizzjuża fir-rigward tal-kummerċjalizzazzjoni abbużiva tax-xogħlijiet ta' rinnovazzjoni.</w:t>
      </w:r>
    </w:p>
    <w:p w:rsidRPr="001B2543" w:rsidR="00011D33" w:rsidRDefault="00011D33"/>
    <w:p w:rsidRPr="001B2543" w:rsidR="003E102C" w:rsidRDefault="00011D33">
      <w:pPr>
        <w:pStyle w:val="Heading1"/>
        <w:keepNext/>
        <w:keepLines/>
        <w:ind w:left="567" w:hanging="567"/>
        <w:rPr>
          <w:b/>
        </w:rPr>
      </w:pPr>
      <w:r>
        <w:rPr>
          <w:b/>
        </w:rPr>
        <w:t>Osservazzjonijiet – L-istimular tar-rinnovazzjoni tal-bini fid-dawl tan-newtralità klimatika u l-irkupru</w:t>
      </w:r>
    </w:p>
    <w:p w:rsidRPr="001B2543" w:rsidR="00DF4FFD" w:rsidRDefault="00DF4FFD">
      <w:pPr>
        <w:keepNext/>
        <w:keepLines/>
      </w:pPr>
    </w:p>
    <w:p w:rsidRPr="001B2543" w:rsidR="003E102C" w:rsidRDefault="006E4060">
      <w:pPr>
        <w:pStyle w:val="Heading2"/>
        <w:ind w:left="567" w:hanging="567"/>
      </w:pPr>
      <w:r>
        <w:t xml:space="preserve">Ir-rinnovazzjoni fuq skala kbira tal-bini fl-Unjoni Ewropea – akkomodazzjonijiet privati u soċjali, binjiet pubbliċi u għal użu professjonali – illum hija neċessità assoluta, meta wieħed iqis </w:t>
      </w:r>
      <w:r>
        <w:lastRenderedPageBreak/>
        <w:t>l-insuffiċjenza strutturali tal-investimenti fit-tul f'dan il-qasam, u fil-konfront tal-konsegwenzi klimatiċi, ambjentali, ekonomiċi u soċjali.</w:t>
      </w:r>
    </w:p>
    <w:p w:rsidRPr="001B2543" w:rsidR="00DF4FFD" w:rsidRDefault="00DF4FFD"/>
    <w:p w:rsidRPr="001B2543" w:rsidR="0070321D" w:rsidRDefault="00C60847">
      <w:pPr>
        <w:pStyle w:val="Heading2"/>
        <w:ind w:left="567" w:hanging="567"/>
      </w:pPr>
      <w:r>
        <w:t xml:space="preserve">Il-Kumitat jaqbel mal-analiżi tal-Kummissjoni dwar l-urġenza klimatika biex tittieħed azzjoni fil-qasam tar-rinnovazzjoni tal-akkomodazzjonijiet u bini ieħor, u dwar l-opportunità li l-kriżi tal-COVID-19 tintuża biex dawn jitqiesu mill-ġdid, jiġu żviluppati mill-ġdid u mmodernizzati f'approċċ ambjentali, soċjali u ekonomiku fejn jirbaħ kulħadd. Din hija tabilħaqq opportunità unika biex nieħdu azzjoni fl-istess ħin favur in-newtralità klimatika, l-irkupru u l-koeżjoni soċjali. </w:t>
      </w:r>
    </w:p>
    <w:p w:rsidRPr="001B2543" w:rsidR="002F0EE4" w:rsidRDefault="002F0EE4">
      <w:pPr>
        <w:pStyle w:val="Heading2"/>
        <w:numPr>
          <w:ilvl w:val="0"/>
          <w:numId w:val="0"/>
        </w:numPr>
        <w:ind w:left="567"/>
      </w:pPr>
    </w:p>
    <w:p w:rsidRPr="001B2543" w:rsidR="0070321D" w:rsidRDefault="0070321D">
      <w:pPr>
        <w:pStyle w:val="Heading2"/>
        <w:numPr>
          <w:ilvl w:val="0"/>
          <w:numId w:val="0"/>
        </w:numPr>
        <w:ind w:left="567"/>
      </w:pPr>
      <w:r>
        <w:t>Il-Kumitat jixtieq iqajjem il-kwistjoni tad-diversità tal-bini kkonċernat, u b’mod partikolari d-diversità tal-akkomodazzjonijiet li għandhom jiġu rinnovati, li jvarjaw minn djar individwali għal konglomerazzjonijiet kbar ta’ proprjetà immobbli li nbnew matul il-perjodu Sovjetiku jew saħansitra s-subborgi tal-klassi tal-ħaddiedma. F’din id-diversità kbira tad-djar, il-blokok tad-djar tal-Ewropa tal-Lvant, djar antiki ħafna f’ċentri tal-bliet sottovalutati, djar suburbani u djar rurali jistgħu jkunu soġġetti għal prijoritizzazzjoni speċifika. B’rabta mal-fatt li l-istokk tad-djar sar obsolet u jeħtieġ proċessi ta’ rinnovazzjoni kemm biex tittejjeb il-kwalità tal-ħajja taċ-ċittadini kif ukoll biex isiru ċerti aġġornamenti fil-livell tekniku, jeħtieġ li jiġi żgurat l-aċċess għall-finanzjament għaċ-ċittadini peress li bħalissa huwa ostaklu ewlieni għar-rinnovazzjoni. Bl-istess mod, għandha titqies l-aċċessibbiltà għall-persuni b’diżabilità. L-Unjoni Ewropea għandha wkoll taħtaf din l-opportunità ta' azzjoni fuq skala kbira biex issir eqreb taċ-ċittadini tagħha u tat-territorju tagħhom permezz ta' komunikazzjoni adatta.</w:t>
      </w:r>
    </w:p>
    <w:p w:rsidRPr="001B2543" w:rsidR="0070321D" w:rsidP="00936297" w:rsidRDefault="0070321D"/>
    <w:p w:rsidRPr="001B2543" w:rsidR="003E102C" w:rsidRDefault="003E102C">
      <w:pPr>
        <w:pStyle w:val="Heading2"/>
        <w:ind w:left="567" w:hanging="567"/>
      </w:pPr>
      <w:r>
        <w:t>Il-Kumitat jappoġġja l-mira proposta li r-rata annwali ta' rinnovazzjoni enerġetika tal-akkomodazzjonijiet u binjiet oħra tiġi rduppjata sal-2030 filwaqt li tiġi stimulata rinnovazzjoni profonda, jiġifieri 35 miljun unità sal-2030, u li dan jinżamm sabiex tinkiseb in-newtralità klimatika fil-livell tal-UE sal-2050. Idealment, dan l-irduppjar għandu jinqabeż u jiġi ttriplikat.</w:t>
      </w:r>
    </w:p>
    <w:p w:rsidRPr="001B2543" w:rsidR="003E102C" w:rsidRDefault="003E102C">
      <w:pPr>
        <w:ind w:left="720" w:hanging="720"/>
      </w:pPr>
    </w:p>
    <w:p w:rsidRPr="001B2543" w:rsidR="003E102C" w:rsidRDefault="003E102C">
      <w:pPr>
        <w:pStyle w:val="Heading2"/>
        <w:ind w:left="567" w:hanging="567"/>
      </w:pPr>
      <w:r>
        <w:t>Il-Kumitat jissottolinja l-ambizzjoni ta' din il-mira, il-projezzjoni tagħha fuq 30 sena, kif ukoll il-ħtieġa ta' azzjoni fil-fond biex ikun hemm uniformità bejn id-dispożizzjonijiet leġiżlattivi u regolatorji eżistenti fil-qasam u l-mekkaniżmi ta' appoġġ finanzjarju għall-unitajiet domestiċi kkonċernati, il-lokaturi soċjali, l-awtoritajiet pubbliċi u proprjetarji ta' bini oħra kkonċernati, li lkoll huma investituri potenzjali li għandhom jiġu persważi jinvestu fit-tul fil-loġika u l-kapaċitajiet tagħhom stess. Ir-rabta li qiegħda tiġi stabbilita mill-Istati Membri u l-awtoritajiet ta' ġestjoni reġjonali tagħhom bejn l-istrument ta' rkupru Next Generation EU u l-politika ta' koeżjoni għall-2021-2027 hija xhieda ta' dan.</w:t>
      </w:r>
    </w:p>
    <w:p w:rsidRPr="001B2543" w:rsidR="003E102C" w:rsidRDefault="003E102C"/>
    <w:p w:rsidRPr="001B2543" w:rsidR="009D1E10" w:rsidRDefault="009D1E10">
      <w:pPr>
        <w:pStyle w:val="Heading1"/>
        <w:keepNext/>
        <w:keepLines/>
        <w:ind w:left="567" w:hanging="567"/>
        <w:rPr>
          <w:b/>
        </w:rPr>
      </w:pPr>
      <w:r>
        <w:rPr>
          <w:b/>
        </w:rPr>
        <w:t>Osservazzjonijiet – Prinċipji ewlenin għar-rinnovazzjoni tal-bini sal-2030 u l-2050</w:t>
      </w:r>
    </w:p>
    <w:p w:rsidRPr="001B2543" w:rsidR="009D1E10" w:rsidRDefault="009D1E10">
      <w:pPr>
        <w:keepNext/>
        <w:keepLines/>
      </w:pPr>
    </w:p>
    <w:p w:rsidRPr="001B2543" w:rsidR="009D1E10" w:rsidRDefault="009D1E10">
      <w:pPr>
        <w:pStyle w:val="Heading2"/>
        <w:ind w:left="567" w:hanging="567"/>
      </w:pPr>
      <w:r>
        <w:t>Il-Kumitat jaqbel mal-ħtieġa li tiġi adottata strateġija globali u integrata li tinvolvi lill-partijiet ikkonċernati abbażi ta' seba' prinċipji: “l-Effiċjenza Enerġetika Tiġi l-Ewwel”, l-affordabbiltà, id-dekarbonizzazzjoni u l-integrazzjoni tas-sorsi ta' enerġija rinnovabbli, iċ-ċikli tal-ħajja u ċ-ċirkolarità, standards għoljin tas-saħħa u tal-ambjent, l-isfidi tat-tranżizzjonijiet ekoloġiċi u diġitali, u fl-aħħar nett ir-rispett għall-etika u għall-kwalità arkitettonika.</w:t>
      </w:r>
    </w:p>
    <w:p w:rsidRPr="001B2543" w:rsidR="009D1E10" w:rsidRDefault="009D1E10">
      <w:pPr>
        <w:ind w:left="720" w:hanging="720"/>
      </w:pPr>
    </w:p>
    <w:p w:rsidRPr="001B2543" w:rsidR="009D1E10" w:rsidRDefault="009D1E10">
      <w:pPr>
        <w:pStyle w:val="Heading2"/>
        <w:ind w:left="567" w:hanging="567"/>
      </w:pPr>
      <w:r>
        <w:t>Il-Kumitat jixtieq jissottolinja l-importanza partikolari li għandha tingħata, f'konformità mal-prinċipju 19 tal-Pilastru Ewropew tad-Drittijiet Soċjali, lill-affordabbiltà tal-akkomodazzjoni u l-investimenti li għandhom isiru mill-unitajiet domestiċi kkonċernati, sew bħala proprjetarji-okkupanti, kerrejja jew koproprjetarji f'koproprjetà degradata, b'mod partikolari fit-trattament tal-binjiet li minnhom taħrab is-sħana u l-ġlieda kontra l-faqar enerġetiku, iżda wkoll mil-lokaturi soċjali li l-livelli ta' kera tagħhom jaqgħu taħt l-obbligi tas-servizz pubbliku tal-affordabbiltà imposti skont il-kompiti partikolari tas-servizz pubbliku assenjati mill-Istati Membri.</w:t>
      </w:r>
    </w:p>
    <w:p w:rsidRPr="001B2543" w:rsidR="001248F2" w:rsidRDefault="001248F2"/>
    <w:p w:rsidRPr="001B2543" w:rsidR="00FD0E86" w:rsidRDefault="00FD0E86">
      <w:pPr>
        <w:pStyle w:val="Heading2"/>
        <w:ind w:left="567" w:hanging="567"/>
      </w:pPr>
      <w:r>
        <w:t>Il-KESE jirrimarka li l-iżolament tal-ħitan tal-kavità u tal-art huma l-aktar miżuri li jippermettu frankar tas-CO</w:t>
      </w:r>
      <w:r>
        <w:rPr>
          <w:vertAlign w:val="subscript"/>
        </w:rPr>
        <w:t>2</w:t>
      </w:r>
      <w:r>
        <w:t>, l-aktar sempliċi biex jitwettqu u l-inqas li jqumu flus. Iżda anke dawn il-miżuri relattivament irħas huma għaljin wisq għal ħafna sidien tad-djar, minkejja l-ispejjeż tal-enerġija aktar baxxi li jiġġeneraw. Huwa għalhekk li l-KESE jirrakkomanda li l-gvernijiet nazzjonali jagħmlu skema ta’ sussidju għal dawn il-miżuri. Il-kalkoli mwettqa fin-Netherlands juru li sussidju ta’ EUR 2,000 għal kull dar huwa biżżejjed biex jitwettqu dawn il-miżuri. Minbarra t-tnaqqis sostanzjali fl-emissjonijiet tas-CO</w:t>
      </w:r>
      <w:r>
        <w:rPr>
          <w:vertAlign w:val="subscript"/>
        </w:rPr>
        <w:t>2</w:t>
      </w:r>
      <w:r>
        <w:t>, skema bħal din tipprovdi wkoll impjiegi sostanzjali fis-settur tal-kostruzzjoni li ntlaqat ħażin mill-COVID-19. L-istess japplika fi Franza permezz tal-espansjoni reċenti fid-djar kollha tal-primjum għar-rinnovazzjoni tad-djar biex tkun iktar effiċjenti fl-użu tal-enerġija “MaPrimeRenov”.</w:t>
      </w:r>
    </w:p>
    <w:p w:rsidRPr="001B2543" w:rsidR="0026545C" w:rsidRDefault="0026545C"/>
    <w:p w:rsidRPr="001B2543" w:rsidR="00FD0E86" w:rsidRDefault="006A0285">
      <w:pPr>
        <w:pStyle w:val="Heading2"/>
        <w:ind w:left="567" w:hanging="567"/>
      </w:pPr>
      <w:r>
        <w:t>Il-konklużjonijiet u r-rakkomandazzjonijiet tal-Opinjoni tal-KESE dwar “Ix-xogħol bl-asbestos fir-rinnovazzjoni tal-enerġija” għandhom jiġu segwiti wkoll sabiex tiġi promossa t-tneħħija tal-asbestos matul il-proċessi ta’ rinnovazzjoni tal-enerġija fejn meħtieġ u possibbli</w:t>
      </w:r>
      <w:r w:rsidRPr="001B2543" w:rsidR="0070321D">
        <w:rPr>
          <w:rStyle w:val="FootnoteReference"/>
        </w:rPr>
        <w:footnoteReference w:id="1"/>
      </w:r>
      <w:r>
        <w:t>.</w:t>
      </w:r>
    </w:p>
    <w:p w:rsidRPr="001B2543" w:rsidR="009D1E10" w:rsidRDefault="009D1E10">
      <w:pPr>
        <w:ind w:left="720" w:hanging="720"/>
      </w:pPr>
    </w:p>
    <w:p w:rsidRPr="001B2543" w:rsidR="009D1E10" w:rsidRDefault="009D1E10">
      <w:pPr>
        <w:pStyle w:val="Heading1"/>
        <w:keepNext/>
        <w:keepLines/>
        <w:ind w:left="567" w:hanging="567"/>
        <w:rPr>
          <w:b/>
        </w:rPr>
      </w:pPr>
      <w:r>
        <w:rPr>
          <w:b/>
        </w:rPr>
        <w:t>Osservazzjonijiet – Rinnovazzjonijiet aktar rapidi u profondi għal bini ta' kwalità aħjar</w:t>
      </w:r>
    </w:p>
    <w:p w:rsidRPr="001B2543" w:rsidR="009D1E10" w:rsidRDefault="009D1E10">
      <w:pPr>
        <w:keepNext/>
        <w:keepLines/>
        <w:ind w:left="720" w:hanging="720"/>
      </w:pPr>
    </w:p>
    <w:p w:rsidRPr="001B2543" w:rsidR="009D1E10" w:rsidRDefault="009D1E10">
      <w:pPr>
        <w:pStyle w:val="Heading2"/>
        <w:ind w:left="567" w:hanging="567"/>
      </w:pPr>
      <w:r>
        <w:t>Il-Kumitat jaqbel mal-analiżi tal-Kummissjoni tal-ħafna ostakli fid-deċiżjonijiet ta' investiment individwali u l-kumplessità tal-aċċess għall-finanzjament, b'mod partikolari fil-livell lokali – kumplessità li tapplika kemm għall-iskemi nazzjonali kif ukoll għall-fondi strutturali, b'mod partikolari fil-fażi tal-evalwazzjoni ta' proġetti, iżda wkoll b'kunsiderazzjoni taż-żmien biex titħallas l-għajnuna. Din il-kumplessità u dawn id-disfunzjonijiet għandhom jiġu indirizzati b'mod prijoritarju sabiex jintlaħqu l-objettivi stabbiliti, inkluż fil-kuntest tal-implimentazzjoni mill-2021 'l hawn ta' dispożizzjonijiet speċifiċi għall-politika ta' koeżjoni għall-2021-2027.</w:t>
      </w:r>
    </w:p>
    <w:p w:rsidRPr="001B2543" w:rsidR="009D1E10" w:rsidRDefault="009D1E10">
      <w:pPr>
        <w:ind w:left="720" w:hanging="720"/>
      </w:pPr>
    </w:p>
    <w:p w:rsidRPr="001B2543" w:rsidR="009D1E10" w:rsidRDefault="009D1E10">
      <w:pPr>
        <w:pStyle w:val="Heading2"/>
        <w:ind w:left="567" w:hanging="567"/>
      </w:pPr>
      <w:r>
        <w:t>Il-Kumitat jieħu nota tal-identifikazzjoni ta' dawn l-ostakli mill-Kummissjoni fil-konsultazzjoni pubblika tagħha u tal-proposti għat-tisħiħ tal-informazzjoni, taċ-ċertezza tad-dritt u tal-inċentivi għall-investiment, ta' finanzjament suffiċjenti u mmirat sew, il-kapaċità li jiġu ppreparati u implimentati proġetti, il-promozzjoni ta' rinnovazzjoni globali u integrata, l-adattament tal-ekosistema għall-iżvilupp sostenibbli u, fl-aħħar nett, l-użu tar-rinnovazzjoni bħala ingranaġġ kontra l-faqar enerġetiku u għall-promozzjoni ta' akkomodazzjoni affordabbli permezz ta' inizjattiva Ewropea speċifika. Dawn il-proposti għandhom jiġu implimentati skont il-prinċipju tas-sempliċità, taħlita stabbilita minn qabel ta' finanzjament addizzjonali li jista' jiġi mmobilizzat mill-awtoritajiet pubbliċi u tal-proporzjonalità tal-kontrolli tal-għajnuna mill-Istat.</w:t>
      </w:r>
    </w:p>
    <w:p w:rsidRPr="001B2543" w:rsidR="009D1E10" w:rsidRDefault="009D1E10">
      <w:pPr>
        <w:ind w:left="720" w:hanging="720"/>
      </w:pPr>
    </w:p>
    <w:p w:rsidRPr="001B2543" w:rsidR="009D1E10" w:rsidP="009D35E3" w:rsidRDefault="009D1E10">
      <w:pPr>
        <w:pStyle w:val="Heading2"/>
        <w:keepLines/>
        <w:ind w:left="567" w:hanging="567"/>
      </w:pPr>
      <w:r>
        <w:t>Il-Kumitat jappoġġja l-proposta tal-Kummissjoni li tawtorizza l-Osservatorju Ewropew tal-Istokk tal-Bini biex jiġġestixxi repożitorju Ewropew dwar ir-rendiment tal-bini fl-użu tal-enerġija u jappoġġja t-tfassil ta' inċentivi dwar dan il-qasam. Dan l-Osservatorju għandu jaħdem flimkien mal-Osservatorju tal-Faqar Enerġetiku, li għandu jingħata dinamika ġdida f'dan il-mument.</w:t>
      </w:r>
    </w:p>
    <w:p w:rsidRPr="001B2543" w:rsidR="009D1E10" w:rsidRDefault="009D1E10">
      <w:pPr>
        <w:ind w:left="720" w:hanging="720"/>
      </w:pPr>
    </w:p>
    <w:p w:rsidRPr="001B2543" w:rsidR="009D1E10" w:rsidRDefault="009D1E10">
      <w:pPr>
        <w:pStyle w:val="Heading2"/>
        <w:ind w:left="567" w:hanging="567"/>
      </w:pPr>
      <w:r>
        <w:t>Il-Kumitat jirrikonoxxi n-natura partikolari ħafna tas-sitwazzjoni attwali fir-rigward tal-mobilizzazzjoni potenzjali ta' riżorsi Ewropej għar-rinnovazzjoni termali taħt l-istrument ta' rkupru Next Generation EU, minn naħa, u l-politika ta' koeżjoni għall-2021-2027 min-naħa l-oħra. Hemm mhux inqas minn 13-il skema li jistgħu jikkontribwixxu għall-kofinanzjament tar-rinnovazzjoni termali, jew permezz ta' sussidji li ma jitħallsux lura jew permezz ta' self fit-tul b'rati preferenzjali u garanziji pubbliċi.</w:t>
      </w:r>
    </w:p>
    <w:p w:rsidRPr="001B2543" w:rsidR="009D1E10" w:rsidRDefault="009D1E10">
      <w:pPr>
        <w:ind w:left="720" w:hanging="720"/>
      </w:pPr>
    </w:p>
    <w:p w:rsidRPr="001B2543" w:rsidR="009D1E10" w:rsidRDefault="009D1E10">
      <w:pPr>
        <w:pStyle w:val="Heading2"/>
        <w:ind w:left="567" w:hanging="567"/>
      </w:pPr>
      <w:r>
        <w:t>Il-Kumitat iqis li din is-sitwazzjoni eċċezzjonali għandha twassal lill-Unjoni Ewropea biex, minbarra li tifformula objettivi kwantitattivi għar-rinnovazzjonijiet, issaħħaħ lill-Istati Membri u l-programmi annwali tagħhom ta' investiment fir-rinnovazzjoni termali, kif ukoll tiżgura evalwazzjoni ta' dawn il-programmi fuq bażi annwali fil-kuntest tas-Semestru Ewropew, billi tiġi stabbilita “governanza ekoloġika” proprja, flimkien mal-governanza ekonomika jew skont il-metodu miftuħ ta' koordinazzjoni.</w:t>
      </w:r>
    </w:p>
    <w:p w:rsidRPr="001B2543" w:rsidR="009D1E10" w:rsidRDefault="009D1E10">
      <w:pPr>
        <w:ind w:left="720" w:hanging="720"/>
      </w:pPr>
    </w:p>
    <w:p w:rsidRPr="001B2543" w:rsidR="009D1E10" w:rsidRDefault="009D1E10">
      <w:pPr>
        <w:pStyle w:val="Heading2"/>
        <w:ind w:left="567" w:hanging="567"/>
      </w:pPr>
      <w:r>
        <w:t>Il-Kumitat iqis li din is-sitwazzjoni unika għandha wkoll tintuża biex jiġi miġġieled il-faqar enerġetiku u jinqered permezz tal-prijoritizzazzjoni tiegħu fil-mobilizzazzjoni tal-finanzjament. L-Osservatorju Ewropew tal-Faqar Enerġetiku għandu jiġi msaħħaħ fil-kompiti tiegħu u jkun fil-quċċata ta' network Ewropew ta' osservatorji tal-faqar enerġetiku tal-Istati Membri.</w:t>
      </w:r>
    </w:p>
    <w:p w:rsidRPr="001B2543" w:rsidR="009D1E10" w:rsidRDefault="009D1E10">
      <w:pPr>
        <w:ind w:left="720" w:hanging="720"/>
      </w:pPr>
    </w:p>
    <w:p w:rsidRPr="001B2543" w:rsidR="009D1E10" w:rsidRDefault="009D1E10">
      <w:pPr>
        <w:pStyle w:val="Heading2"/>
        <w:ind w:left="567" w:hanging="567"/>
      </w:pPr>
      <w:r>
        <w:t>Madankollu, il-Kumitat jixtieq jagħmel lill-Kummissjoni konxja tad-diffikultà għal investituri potenzjali, b'mod partikolari l-unitajiet domestiċi u l-lokaturi soċjali, biex jgħaqqdu dawn il-mezzi ta' finanzjament differenti u jorbtuhom ma' regolamenti, bażijiet eliġibbli u kontrolli applikabbli differenti. Fid-dawl tal-mira għall-2050, dawn l-iskemi għandhom jingħaqdu b'tali mod li jsiru aktar ċari u aċċessibbli għall-unitajiet domestiċi u l-awtoritajiet pubbliċi fil-mira.</w:t>
      </w:r>
    </w:p>
    <w:p w:rsidRPr="001B2543" w:rsidR="009D1E10" w:rsidRDefault="009D1E10">
      <w:pPr>
        <w:ind w:left="720" w:hanging="720"/>
      </w:pPr>
    </w:p>
    <w:p w:rsidRPr="001B2543" w:rsidR="009D1E10" w:rsidRDefault="009D1E10">
      <w:pPr>
        <w:pStyle w:val="Heading2"/>
        <w:ind w:left="567" w:hanging="567"/>
      </w:pPr>
      <w:r>
        <w:t>B'kunsiderazzjoni taż-żmien tal-investiment inkwistjoni u l-mira għall-2050, il-Kumitat jipproponi li l-Kummissjoni tistudja, għal finijiet ta' semplifikazzjoni u ċarezza għall-unitajiet domestiċi Ewropej ikkonċernati, il-fattibbiltà ta' fond ta' investiment speċifiku mill-Bank Ewropew tal-Investiment (BEI), li jiżgura fl-istess ħin l-assistenza teknika, l-għaqda tal-iskemi eżistenti u l-garanzija tal-kontinwità tal-azzjoni sal-2050.</w:t>
      </w:r>
    </w:p>
    <w:p w:rsidRPr="001B2543" w:rsidR="009D1E10" w:rsidRDefault="009D1E10">
      <w:pPr>
        <w:ind w:left="720" w:hanging="720"/>
      </w:pPr>
    </w:p>
    <w:p w:rsidRPr="001B2543" w:rsidR="004061B8" w:rsidRDefault="009D1E10">
      <w:pPr>
        <w:pStyle w:val="Heading2"/>
        <w:ind w:left="567" w:hanging="567"/>
      </w:pPr>
      <w:r>
        <w:t>Il-Kumitat jappoġġja l-approċċ tal-Kummissjoni li f'dan ir-rigward tirrevedi l-iskemi ta' għajnuna mill-Istat li japplikaw għal investimenti fir-rinnovazzjoni termali. Dawn l-iskemi ta' għajnuna mill-Istat għar-rinnovazzjoni termali għandhom jiġu ssemplifikati sabiex ma jikkostitwixxux ostaklu għad-deċiżjonijiet ta' investiment, fid-dawl tan-neċessità assoluta tagħhom. Il-Kumitat jilqa' wkoll id-deċiżjoni tal-Kummissjoni li fl-2021 tevalwa d-Deċiżjoni 2012/21/UE dwar l-għajnuna mill-Istat taħt il-forma ta' kumpens għas-servizzi pubbliċi. L-għajnuna għar-rinnovazzjoni termali tal-akkomodazzjonijiet soċjali taqa' taħt din l-iskema applikabbli għat-twettiq tal-obbligi tas-servizz pubbliku.</w:t>
      </w:r>
    </w:p>
    <w:p w:rsidRPr="001B2543" w:rsidR="009D1E10" w:rsidRDefault="009D1E10">
      <w:pPr>
        <w:ind w:left="720" w:hanging="720"/>
      </w:pPr>
    </w:p>
    <w:p w:rsidRPr="001B2543" w:rsidR="009D1E10" w:rsidRDefault="009D1E10">
      <w:pPr>
        <w:pStyle w:val="Heading2"/>
        <w:ind w:left="567" w:hanging="567"/>
      </w:pPr>
      <w:r>
        <w:t>Il-Kumitat jappoġġja l-proposta tal-Kummissjoni li tniedi inizjattiva Ewropea għal akkomodazzjoni affordabbli billi tiffinanzja 100 proġett ewlieni innovattiv u parteċipattiv li jiffukaw fuq ir-rinnovazzjoni globali ta' nħawi ta' akkomodazzjoni soċjali biex iservu bħala mudell għal żvilupp fuq skala kbira fl-Unjoni Ewropea. Meta wieħed iqis il-kapaċità tal-lokaturi soċjali li jinvestu fil-kwalità tas-servizzi ta' interess ekonomiku ġenerali tagħhom u bl-appoġġ tal-BEI, il-massifikazzjoni tal-operazzjonijiet u l-industrijalizzazzjoni tal-iskemi tar-rinnovazzjoni tal-proprjetà immobbli jwasslu mhux biss għall-ħolqien ta' impjiegi lokali, iżda wkoll għal tnaqqis fl-ispejjeż tar-rinnovazzjoni għall-akkomodazzjonijiet l-oħra u l-bini pubbliku permezz tal-istabbiliment ta' setturi industrijali lokali ġodda.</w:t>
      </w:r>
    </w:p>
    <w:p w:rsidRPr="001B2543" w:rsidR="009D1E10" w:rsidRDefault="009D1E10">
      <w:pPr>
        <w:ind w:left="720" w:hanging="720"/>
      </w:pPr>
    </w:p>
    <w:p w:rsidRPr="001B2543" w:rsidR="00C37553" w:rsidRDefault="009D1E10">
      <w:pPr>
        <w:pStyle w:val="Heading2"/>
        <w:ind w:left="567" w:hanging="567"/>
      </w:pPr>
      <w:r>
        <w:t>Il-Kumitat jipproponi li l-Kummissjoni, abbażi tal-esperjenza ELENA, u bl-appoġġ tal-BEI, tħeġġeġ lill-Istati Membri jorganizzaw servizz pubbliku tal-assistenza teknika għal operazzjonijiet ta' rinnovazzjoni termali, b'mod partikolari għall-unitajiet domestiċi kkonċernati, sabiex jiġu evitati l-prattiki abbużivi tas-solleċitazzjoni u l-frodi li diġà ġew osservati f'xi Stati Membri b'rabta max-xogħlijiet ta’ rinnovazzjoni għall-effiċjenza enerġetika.</w:t>
      </w:r>
    </w:p>
    <w:p w:rsidRPr="001B2543" w:rsidR="009D1E10" w:rsidRDefault="009D1E10">
      <w:pPr>
        <w:ind w:left="720" w:hanging="720"/>
      </w:pPr>
    </w:p>
    <w:p w:rsidRPr="001B2543" w:rsidR="00FD0E86" w:rsidP="00936297" w:rsidRDefault="009D1E10">
      <w:pPr>
        <w:pStyle w:val="Heading2"/>
        <w:keepNext/>
        <w:ind w:left="567" w:hanging="567"/>
      </w:pPr>
      <w:r>
        <w:t>Il-Kumitat jappoġġja bis-sħiħ l-approċċ tal-“Bauhaus Ewropew il-ġdid” li nediet il-President von der Leyen fid-diskors tagħha dwar l-Istat tal-Unjoni u li ġie żviluppat fil-Komunikazzjoni, li se jiġbor flimkien professjonisti minn diversi oqsma biex jaħsbu dwar il-bini tal-futur u jivvintaw mill-ġdid stil ta' ħajja sostenibbli għall-futur. Il-Kumitat jistieden lill-partijiet interessati kollha biex jieħdu sehem fil-konsultazzjoni pubblika mnedija mill-Kummissjoni.</w:t>
      </w:r>
    </w:p>
    <w:p w:rsidRPr="001B2543" w:rsidR="009D1E10" w:rsidP="00027E25" w:rsidRDefault="009D1E10"/>
    <w:p w:rsidRPr="001B2543" w:rsidR="00540D07" w:rsidP="00540D07" w:rsidRDefault="00540D07">
      <w:r>
        <w:t>Brussell, 24 ta’ Frar 2021</w:t>
      </w:r>
    </w:p>
    <w:p w:rsidRPr="001B2543" w:rsidR="00540D07" w:rsidP="00540D07" w:rsidRDefault="00540D07"/>
    <w:p w:rsidRPr="001B2543" w:rsidR="00540D07" w:rsidP="00540D07" w:rsidRDefault="00540D07"/>
    <w:p w:rsidRPr="001B2543" w:rsidR="00540D07" w:rsidP="00540D07" w:rsidRDefault="00540D07"/>
    <w:p w:rsidRPr="001B2543" w:rsidR="00366D88" w:rsidP="00366D88" w:rsidRDefault="00366D88"/>
    <w:p w:rsidRPr="001B2543" w:rsidR="00366D88" w:rsidP="00366D88" w:rsidRDefault="00366D88">
      <w:pPr>
        <w:jc w:val="left"/>
      </w:pPr>
      <w:r>
        <w:t>Christa SCHWENG</w:t>
      </w:r>
      <w:r>
        <w:br/>
        <w:t>Il-President tal-Kumitat Ekonomiku u Soċjali Ewropew</w:t>
      </w:r>
    </w:p>
    <w:p w:rsidRPr="001B2543" w:rsidR="00540D07" w:rsidP="00540D07" w:rsidRDefault="00540D07"/>
    <w:p w:rsidRPr="001B2543" w:rsidR="00646AC2" w:rsidRDefault="00646AC2">
      <w:pPr>
        <w:overflowPunct/>
        <w:adjustRightInd/>
        <w:jc w:val="center"/>
        <w:textAlignment w:val="auto"/>
      </w:pPr>
      <w:r>
        <w:t>_____________</w:t>
      </w:r>
    </w:p>
    <w:sectPr w:rsidRPr="001B2543" w:rsidR="00646AC2" w:rsidSect="00AC548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9" w:code="9"/>
      <w:pgMar w:top="1417" w:right="1417" w:bottom="1417" w:left="1417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8D5" w:rsidRDefault="006E78D5">
      <w:r>
        <w:separator/>
      </w:r>
    </w:p>
  </w:endnote>
  <w:endnote w:type="continuationSeparator" w:id="0">
    <w:p w:rsidR="006E78D5" w:rsidRDefault="006E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DC6" w:rsidRPr="00AC5488" w:rsidRDefault="00AC5488" w:rsidP="00AC5488">
    <w:pPr>
      <w:pStyle w:val="Footer"/>
    </w:pPr>
    <w:r>
      <w:t xml:space="preserve">TEN/723 – EESC-2020-04884-00-01-AC-TRA (FR) </w:t>
    </w:r>
    <w:r>
      <w:fldChar w:fldCharType="begin"/>
    </w:r>
    <w:r>
      <w:instrText xml:space="preserve"> PAGE  \* Arabic  \* MERGEFORMAT </w:instrText>
    </w:r>
    <w:r>
      <w:fldChar w:fldCharType="separate"/>
    </w:r>
    <w:r w:rsidR="006A24E4">
      <w:rPr>
        <w:noProof/>
      </w:rPr>
      <w:t>1</w:t>
    </w:r>
    <w:r>
      <w:fldChar w:fldCharType="end"/>
    </w:r>
    <w:r>
      <w:t>/</w:t>
    </w:r>
    <w:r w:rsidR="006A24E4">
      <w:fldChar w:fldCharType="begin"/>
    </w:r>
    <w:r w:rsidR="006A24E4">
      <w:instrText xml:space="preserve"> NUMPAGES </w:instrText>
    </w:r>
    <w:r w:rsidR="006A24E4">
      <w:fldChar w:fldCharType="separate"/>
    </w:r>
    <w:r w:rsidR="006A24E4">
      <w:rPr>
        <w:noProof/>
      </w:rPr>
      <w:t>6</w:t>
    </w:r>
    <w:r w:rsidR="006A24E4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AFF" w:rsidRPr="00AC5488" w:rsidRDefault="00551AFF" w:rsidP="00AC548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AFF" w:rsidRPr="00AC5488" w:rsidRDefault="00AC5488" w:rsidP="00AC5488">
    <w:pPr>
      <w:pStyle w:val="Footer"/>
    </w:pPr>
    <w:r>
      <w:t xml:space="preserve">TEN/723 – EESC-2020-04884-00-01-AC-TRA (FR) </w:t>
    </w:r>
    <w:r>
      <w:fldChar w:fldCharType="begin"/>
    </w:r>
    <w:r>
      <w:instrText xml:space="preserve"> PAGE  \* Arabic  \* MERGEFORMAT </w:instrText>
    </w:r>
    <w:r>
      <w:fldChar w:fldCharType="separate"/>
    </w:r>
    <w:r w:rsidR="006A24E4">
      <w:rPr>
        <w:noProof/>
      </w:rPr>
      <w:t>2</w:t>
    </w:r>
    <w:r>
      <w:fldChar w:fldCharType="end"/>
    </w:r>
    <w:r>
      <w:t>/</w:t>
    </w:r>
    <w:r w:rsidR="006A24E4">
      <w:fldChar w:fldCharType="begin"/>
    </w:r>
    <w:r w:rsidR="006A24E4">
      <w:instrText xml:space="preserve"> NUMPAGES </w:instrText>
    </w:r>
    <w:r w:rsidR="006A24E4">
      <w:fldChar w:fldCharType="separate"/>
    </w:r>
    <w:r w:rsidR="006A24E4">
      <w:rPr>
        <w:noProof/>
      </w:rPr>
      <w:t>6</w:t>
    </w:r>
    <w:r w:rsidR="006A24E4"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AFF" w:rsidRPr="00AC5488" w:rsidRDefault="00551AFF" w:rsidP="00AC54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8D5" w:rsidRDefault="006E78D5">
      <w:r>
        <w:separator/>
      </w:r>
    </w:p>
  </w:footnote>
  <w:footnote w:type="continuationSeparator" w:id="0">
    <w:p w:rsidR="006E78D5" w:rsidRDefault="006E78D5">
      <w:r>
        <w:continuationSeparator/>
      </w:r>
    </w:p>
  </w:footnote>
  <w:footnote w:id="1">
    <w:p w:rsidR="0070321D" w:rsidRPr="006A76A8" w:rsidRDefault="0070321D" w:rsidP="002F0EE4">
      <w:pPr>
        <w:pStyle w:val="FootnoteText"/>
        <w:ind w:left="567" w:hanging="567"/>
      </w:pPr>
      <w:r>
        <w:rPr>
          <w:rStyle w:val="FootnoteReference"/>
        </w:rPr>
        <w:footnoteRef/>
      </w:r>
      <w:r>
        <w:t xml:space="preserve"> </w:t>
      </w:r>
      <w:r>
        <w:tab/>
      </w:r>
      <w:hyperlink r:id="rId1" w:history="1">
        <w:r>
          <w:rPr>
            <w:rStyle w:val="Hyperlink"/>
          </w:rPr>
          <w:t>ĠU C 240, 16.7.2019, p. 15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AFF" w:rsidRPr="00AC5488" w:rsidRDefault="00551AFF" w:rsidP="00AC54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AFF" w:rsidRPr="00AC5488" w:rsidRDefault="00551AFF" w:rsidP="00AC548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AFF" w:rsidRPr="00AC5488" w:rsidRDefault="00551AFF" w:rsidP="00AC54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59D230CE"/>
    <w:lvl w:ilvl="0">
      <w:start w:val="1"/>
      <w:numFmt w:val="decimal"/>
      <w:pStyle w:val="Heading1"/>
      <w:lvlText w:val="%1."/>
      <w:legacy w:legacy="1" w:legacySpace="0" w:legacyIndent="0"/>
      <w:lvlJc w:val="left"/>
      <w:rPr>
        <w:b w:val="0"/>
      </w:rPr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288242A6"/>
    <w:multiLevelType w:val="multilevel"/>
    <w:tmpl w:val="B2D41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60851191"/>
    <w:multiLevelType w:val="multilevel"/>
    <w:tmpl w:val="AB708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7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  <w:rPr>
          <w:b w:val="0"/>
        </w:rPr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9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0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1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5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6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  <w:rPr>
          <w:b w:val="0"/>
        </w:rPr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7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9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0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1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5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6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7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9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0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1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5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6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7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9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0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  <w:rPr>
          <w:b w:val="0"/>
        </w:rPr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1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5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6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7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9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0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1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5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6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7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  <w:rPr>
          <w:b w:val="0"/>
        </w:rPr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9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0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1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5">
    <w:abstractNumId w:val="1"/>
  </w:num>
  <w:num w:numId="66">
    <w:abstractNumId w:val="0"/>
  </w:num>
  <w:num w:numId="67">
    <w:abstractNumId w:val="0"/>
  </w:num>
  <w:num w:numId="68">
    <w:abstractNumId w:val="0"/>
  </w:num>
  <w:num w:numId="69">
    <w:abstractNumId w:val="0"/>
  </w:num>
  <w:num w:numId="70">
    <w:abstractNumId w:val="0"/>
  </w:num>
  <w:num w:numId="71">
    <w:abstractNumId w:val="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10"/>
  <w:drawingGridVerticalSpacing w:val="299"/>
  <w:displayHorizontalDrawingGridEvery w:val="2"/>
  <w:displayVerticalDrawingGridEvery w:val="0"/>
  <w:noPunctuationKerning/>
  <w:characterSpacingControl w:val="doNotCompress"/>
  <w:doNotValidateAgainstSchema/>
  <w:doNotDemarcateInvalidXml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F8F"/>
    <w:rsid w:val="00005AB9"/>
    <w:rsid w:val="00005EB9"/>
    <w:rsid w:val="00006E24"/>
    <w:rsid w:val="00007A40"/>
    <w:rsid w:val="00011D33"/>
    <w:rsid w:val="00020E6E"/>
    <w:rsid w:val="00027E25"/>
    <w:rsid w:val="00031A4B"/>
    <w:rsid w:val="00033913"/>
    <w:rsid w:val="00033E5B"/>
    <w:rsid w:val="000357A8"/>
    <w:rsid w:val="00041E83"/>
    <w:rsid w:val="000430A6"/>
    <w:rsid w:val="00044923"/>
    <w:rsid w:val="0005249C"/>
    <w:rsid w:val="000534A5"/>
    <w:rsid w:val="0005680D"/>
    <w:rsid w:val="00063FB4"/>
    <w:rsid w:val="0006793E"/>
    <w:rsid w:val="00072E0F"/>
    <w:rsid w:val="000735E5"/>
    <w:rsid w:val="0007392F"/>
    <w:rsid w:val="000755DB"/>
    <w:rsid w:val="00087B39"/>
    <w:rsid w:val="00096502"/>
    <w:rsid w:val="000A152C"/>
    <w:rsid w:val="000A49BB"/>
    <w:rsid w:val="000C3441"/>
    <w:rsid w:val="000C59FC"/>
    <w:rsid w:val="000C7F53"/>
    <w:rsid w:val="000D137C"/>
    <w:rsid w:val="000D2F8E"/>
    <w:rsid w:val="000D7886"/>
    <w:rsid w:val="000E160F"/>
    <w:rsid w:val="000E6A87"/>
    <w:rsid w:val="000F196B"/>
    <w:rsid w:val="000F79DE"/>
    <w:rsid w:val="00105361"/>
    <w:rsid w:val="001101F8"/>
    <w:rsid w:val="0011206F"/>
    <w:rsid w:val="00113EE2"/>
    <w:rsid w:val="00113EFB"/>
    <w:rsid w:val="0011656A"/>
    <w:rsid w:val="0012220C"/>
    <w:rsid w:val="001223B5"/>
    <w:rsid w:val="001248F2"/>
    <w:rsid w:val="00125CC8"/>
    <w:rsid w:val="00136EA3"/>
    <w:rsid w:val="00137575"/>
    <w:rsid w:val="00137A94"/>
    <w:rsid w:val="00141CFF"/>
    <w:rsid w:val="00144231"/>
    <w:rsid w:val="00147E2C"/>
    <w:rsid w:val="00150434"/>
    <w:rsid w:val="00153D63"/>
    <w:rsid w:val="00155721"/>
    <w:rsid w:val="00155CCE"/>
    <w:rsid w:val="001610C8"/>
    <w:rsid w:val="001647D1"/>
    <w:rsid w:val="0016503F"/>
    <w:rsid w:val="001656B5"/>
    <w:rsid w:val="0016674F"/>
    <w:rsid w:val="00167CA0"/>
    <w:rsid w:val="0017120D"/>
    <w:rsid w:val="001714F6"/>
    <w:rsid w:val="00171E54"/>
    <w:rsid w:val="00173EE6"/>
    <w:rsid w:val="00176168"/>
    <w:rsid w:val="00177158"/>
    <w:rsid w:val="001808A5"/>
    <w:rsid w:val="00184FD4"/>
    <w:rsid w:val="00186B04"/>
    <w:rsid w:val="00186F1E"/>
    <w:rsid w:val="00190836"/>
    <w:rsid w:val="00193930"/>
    <w:rsid w:val="001961D2"/>
    <w:rsid w:val="001963A5"/>
    <w:rsid w:val="00196F1E"/>
    <w:rsid w:val="001979B9"/>
    <w:rsid w:val="00197FCA"/>
    <w:rsid w:val="001A27DB"/>
    <w:rsid w:val="001A6852"/>
    <w:rsid w:val="001B2543"/>
    <w:rsid w:val="001B286A"/>
    <w:rsid w:val="001B2D02"/>
    <w:rsid w:val="001B3647"/>
    <w:rsid w:val="001B77FA"/>
    <w:rsid w:val="001C0ABE"/>
    <w:rsid w:val="001C5852"/>
    <w:rsid w:val="001D45F0"/>
    <w:rsid w:val="001E4A33"/>
    <w:rsid w:val="001E5C27"/>
    <w:rsid w:val="001F602B"/>
    <w:rsid w:val="001F6AC8"/>
    <w:rsid w:val="002037D5"/>
    <w:rsid w:val="00206F90"/>
    <w:rsid w:val="00212B03"/>
    <w:rsid w:val="002131AE"/>
    <w:rsid w:val="00214A6E"/>
    <w:rsid w:val="00215C10"/>
    <w:rsid w:val="00215C2D"/>
    <w:rsid w:val="002252C4"/>
    <w:rsid w:val="0023183E"/>
    <w:rsid w:val="002319ED"/>
    <w:rsid w:val="00235138"/>
    <w:rsid w:val="00243E36"/>
    <w:rsid w:val="0024540B"/>
    <w:rsid w:val="00245EF4"/>
    <w:rsid w:val="00250E11"/>
    <w:rsid w:val="00251383"/>
    <w:rsid w:val="002522C9"/>
    <w:rsid w:val="00252A21"/>
    <w:rsid w:val="00253225"/>
    <w:rsid w:val="00253E4F"/>
    <w:rsid w:val="002542E4"/>
    <w:rsid w:val="0025463B"/>
    <w:rsid w:val="00261053"/>
    <w:rsid w:val="00262FDE"/>
    <w:rsid w:val="00263629"/>
    <w:rsid w:val="0026545C"/>
    <w:rsid w:val="002769BD"/>
    <w:rsid w:val="00276A75"/>
    <w:rsid w:val="002809EA"/>
    <w:rsid w:val="00284962"/>
    <w:rsid w:val="00287B0E"/>
    <w:rsid w:val="002A0B53"/>
    <w:rsid w:val="002A0EEF"/>
    <w:rsid w:val="002B2A93"/>
    <w:rsid w:val="002B2DF7"/>
    <w:rsid w:val="002C1AE9"/>
    <w:rsid w:val="002C3BF4"/>
    <w:rsid w:val="002C749F"/>
    <w:rsid w:val="002D1723"/>
    <w:rsid w:val="002E2FA2"/>
    <w:rsid w:val="002E7B33"/>
    <w:rsid w:val="002F059B"/>
    <w:rsid w:val="002F0EE4"/>
    <w:rsid w:val="002F5B0B"/>
    <w:rsid w:val="00300924"/>
    <w:rsid w:val="0030596E"/>
    <w:rsid w:val="003073C3"/>
    <w:rsid w:val="003225D3"/>
    <w:rsid w:val="00323637"/>
    <w:rsid w:val="00324AAC"/>
    <w:rsid w:val="00324E8A"/>
    <w:rsid w:val="00331D87"/>
    <w:rsid w:val="00332850"/>
    <w:rsid w:val="00334478"/>
    <w:rsid w:val="003346B4"/>
    <w:rsid w:val="00334AE6"/>
    <w:rsid w:val="00336059"/>
    <w:rsid w:val="003365D0"/>
    <w:rsid w:val="00341A2B"/>
    <w:rsid w:val="003439AB"/>
    <w:rsid w:val="0035001B"/>
    <w:rsid w:val="0035034C"/>
    <w:rsid w:val="003511DD"/>
    <w:rsid w:val="00354695"/>
    <w:rsid w:val="0035549B"/>
    <w:rsid w:val="00366D88"/>
    <w:rsid w:val="00372135"/>
    <w:rsid w:val="003750D3"/>
    <w:rsid w:val="003755C8"/>
    <w:rsid w:val="00375687"/>
    <w:rsid w:val="0037771D"/>
    <w:rsid w:val="00380AE0"/>
    <w:rsid w:val="00383324"/>
    <w:rsid w:val="00387A75"/>
    <w:rsid w:val="003904FD"/>
    <w:rsid w:val="00392A47"/>
    <w:rsid w:val="00394254"/>
    <w:rsid w:val="003C133F"/>
    <w:rsid w:val="003C2BFB"/>
    <w:rsid w:val="003C436B"/>
    <w:rsid w:val="003C5337"/>
    <w:rsid w:val="003C5F92"/>
    <w:rsid w:val="003D6B84"/>
    <w:rsid w:val="003D7A8C"/>
    <w:rsid w:val="003D7C00"/>
    <w:rsid w:val="003E102C"/>
    <w:rsid w:val="003E17CA"/>
    <w:rsid w:val="003E56E5"/>
    <w:rsid w:val="003E6023"/>
    <w:rsid w:val="003E7E60"/>
    <w:rsid w:val="003F00D4"/>
    <w:rsid w:val="003F2209"/>
    <w:rsid w:val="003F3D39"/>
    <w:rsid w:val="003F646A"/>
    <w:rsid w:val="003F6761"/>
    <w:rsid w:val="003F6A0A"/>
    <w:rsid w:val="004024F5"/>
    <w:rsid w:val="00402DE1"/>
    <w:rsid w:val="00403D8B"/>
    <w:rsid w:val="004058F1"/>
    <w:rsid w:val="004061B8"/>
    <w:rsid w:val="00407E7D"/>
    <w:rsid w:val="0041283D"/>
    <w:rsid w:val="00413AB4"/>
    <w:rsid w:val="00421373"/>
    <w:rsid w:val="00421FB7"/>
    <w:rsid w:val="0042763B"/>
    <w:rsid w:val="0043024C"/>
    <w:rsid w:val="00430FCC"/>
    <w:rsid w:val="00436706"/>
    <w:rsid w:val="00437639"/>
    <w:rsid w:val="004438F6"/>
    <w:rsid w:val="00443D38"/>
    <w:rsid w:val="00450E7A"/>
    <w:rsid w:val="0045142E"/>
    <w:rsid w:val="00456AF8"/>
    <w:rsid w:val="00466A19"/>
    <w:rsid w:val="00470B15"/>
    <w:rsid w:val="00475869"/>
    <w:rsid w:val="00475A77"/>
    <w:rsid w:val="004866A9"/>
    <w:rsid w:val="00492774"/>
    <w:rsid w:val="004950E2"/>
    <w:rsid w:val="00496D7A"/>
    <w:rsid w:val="004A31BC"/>
    <w:rsid w:val="004A3F1A"/>
    <w:rsid w:val="004A3F45"/>
    <w:rsid w:val="004A6375"/>
    <w:rsid w:val="004B1AFA"/>
    <w:rsid w:val="004B7088"/>
    <w:rsid w:val="004C4D12"/>
    <w:rsid w:val="004C5B76"/>
    <w:rsid w:val="004D02CD"/>
    <w:rsid w:val="004D0B24"/>
    <w:rsid w:val="004D42E8"/>
    <w:rsid w:val="004D45B4"/>
    <w:rsid w:val="004D4B90"/>
    <w:rsid w:val="004D6040"/>
    <w:rsid w:val="004D67C0"/>
    <w:rsid w:val="004D6B95"/>
    <w:rsid w:val="004D7F41"/>
    <w:rsid w:val="004E03A2"/>
    <w:rsid w:val="004E09E3"/>
    <w:rsid w:val="004E317E"/>
    <w:rsid w:val="004E3954"/>
    <w:rsid w:val="004E5856"/>
    <w:rsid w:val="004E70D8"/>
    <w:rsid w:val="004F2330"/>
    <w:rsid w:val="004F53C6"/>
    <w:rsid w:val="004F55C6"/>
    <w:rsid w:val="004F69DB"/>
    <w:rsid w:val="004F6B87"/>
    <w:rsid w:val="00501C2D"/>
    <w:rsid w:val="00502637"/>
    <w:rsid w:val="00502C12"/>
    <w:rsid w:val="00511140"/>
    <w:rsid w:val="00512066"/>
    <w:rsid w:val="00513CFE"/>
    <w:rsid w:val="00516675"/>
    <w:rsid w:val="00523B6A"/>
    <w:rsid w:val="00525F6C"/>
    <w:rsid w:val="005346CE"/>
    <w:rsid w:val="00540D07"/>
    <w:rsid w:val="0054656C"/>
    <w:rsid w:val="00546AB4"/>
    <w:rsid w:val="00547475"/>
    <w:rsid w:val="005514E5"/>
    <w:rsid w:val="00551AFF"/>
    <w:rsid w:val="00563C84"/>
    <w:rsid w:val="005729F2"/>
    <w:rsid w:val="005762F6"/>
    <w:rsid w:val="00584FBE"/>
    <w:rsid w:val="00585483"/>
    <w:rsid w:val="005856FC"/>
    <w:rsid w:val="00587378"/>
    <w:rsid w:val="00587C05"/>
    <w:rsid w:val="00590AAB"/>
    <w:rsid w:val="005938C3"/>
    <w:rsid w:val="0059468C"/>
    <w:rsid w:val="00595125"/>
    <w:rsid w:val="005964BD"/>
    <w:rsid w:val="00596F21"/>
    <w:rsid w:val="005B063F"/>
    <w:rsid w:val="005B1CDD"/>
    <w:rsid w:val="005B1D56"/>
    <w:rsid w:val="005B1E19"/>
    <w:rsid w:val="005B33B5"/>
    <w:rsid w:val="005B55FC"/>
    <w:rsid w:val="005B5E96"/>
    <w:rsid w:val="005C2D5E"/>
    <w:rsid w:val="005C3B81"/>
    <w:rsid w:val="005C490F"/>
    <w:rsid w:val="005C64B1"/>
    <w:rsid w:val="005C650C"/>
    <w:rsid w:val="005D086C"/>
    <w:rsid w:val="005D11D3"/>
    <w:rsid w:val="005D1416"/>
    <w:rsid w:val="005D4E1F"/>
    <w:rsid w:val="005D4FB3"/>
    <w:rsid w:val="005E2F07"/>
    <w:rsid w:val="005E2FEA"/>
    <w:rsid w:val="005E7406"/>
    <w:rsid w:val="005F314B"/>
    <w:rsid w:val="00602ADF"/>
    <w:rsid w:val="00602F1F"/>
    <w:rsid w:val="00603E50"/>
    <w:rsid w:val="006110E1"/>
    <w:rsid w:val="00611AF2"/>
    <w:rsid w:val="0061212B"/>
    <w:rsid w:val="006127AF"/>
    <w:rsid w:val="00613A98"/>
    <w:rsid w:val="00615FB2"/>
    <w:rsid w:val="00617BD1"/>
    <w:rsid w:val="00617CE8"/>
    <w:rsid w:val="006226CA"/>
    <w:rsid w:val="0062452B"/>
    <w:rsid w:val="006278A0"/>
    <w:rsid w:val="006302D8"/>
    <w:rsid w:val="0063095F"/>
    <w:rsid w:val="00631CBD"/>
    <w:rsid w:val="0063704F"/>
    <w:rsid w:val="00641DD3"/>
    <w:rsid w:val="00646AC2"/>
    <w:rsid w:val="00650390"/>
    <w:rsid w:val="006517B1"/>
    <w:rsid w:val="00654DAB"/>
    <w:rsid w:val="00657043"/>
    <w:rsid w:val="0066204A"/>
    <w:rsid w:val="006632A7"/>
    <w:rsid w:val="00670E3C"/>
    <w:rsid w:val="00677F57"/>
    <w:rsid w:val="00681088"/>
    <w:rsid w:val="00686245"/>
    <w:rsid w:val="0069577E"/>
    <w:rsid w:val="0069634B"/>
    <w:rsid w:val="00696623"/>
    <w:rsid w:val="006A0285"/>
    <w:rsid w:val="006A04E9"/>
    <w:rsid w:val="006A24E4"/>
    <w:rsid w:val="006A4A03"/>
    <w:rsid w:val="006A7543"/>
    <w:rsid w:val="006A76A8"/>
    <w:rsid w:val="006B42A9"/>
    <w:rsid w:val="006B45F6"/>
    <w:rsid w:val="006B725C"/>
    <w:rsid w:val="006C08BD"/>
    <w:rsid w:val="006C273D"/>
    <w:rsid w:val="006C5B9B"/>
    <w:rsid w:val="006C5C4F"/>
    <w:rsid w:val="006C6282"/>
    <w:rsid w:val="006C6582"/>
    <w:rsid w:val="006C762A"/>
    <w:rsid w:val="006D5CEE"/>
    <w:rsid w:val="006D5FF9"/>
    <w:rsid w:val="006E0514"/>
    <w:rsid w:val="006E0772"/>
    <w:rsid w:val="006E0F86"/>
    <w:rsid w:val="006E32A4"/>
    <w:rsid w:val="006E4060"/>
    <w:rsid w:val="006E78D5"/>
    <w:rsid w:val="006F0B15"/>
    <w:rsid w:val="006F0DCC"/>
    <w:rsid w:val="00700737"/>
    <w:rsid w:val="0070119E"/>
    <w:rsid w:val="0070321D"/>
    <w:rsid w:val="00703DF9"/>
    <w:rsid w:val="007048EB"/>
    <w:rsid w:val="00704FBB"/>
    <w:rsid w:val="00706C34"/>
    <w:rsid w:val="0070726A"/>
    <w:rsid w:val="0071002C"/>
    <w:rsid w:val="0071226B"/>
    <w:rsid w:val="00717040"/>
    <w:rsid w:val="0072096D"/>
    <w:rsid w:val="00722969"/>
    <w:rsid w:val="007471A7"/>
    <w:rsid w:val="0075150A"/>
    <w:rsid w:val="007519AA"/>
    <w:rsid w:val="00756F5C"/>
    <w:rsid w:val="007622A7"/>
    <w:rsid w:val="007750A2"/>
    <w:rsid w:val="0077798D"/>
    <w:rsid w:val="007817D6"/>
    <w:rsid w:val="00781E1C"/>
    <w:rsid w:val="0078533B"/>
    <w:rsid w:val="00787912"/>
    <w:rsid w:val="0079177A"/>
    <w:rsid w:val="00794836"/>
    <w:rsid w:val="007948D5"/>
    <w:rsid w:val="007A15C9"/>
    <w:rsid w:val="007A28B4"/>
    <w:rsid w:val="007A6676"/>
    <w:rsid w:val="007B7FF5"/>
    <w:rsid w:val="007C3FC6"/>
    <w:rsid w:val="007D2CE9"/>
    <w:rsid w:val="007D4FED"/>
    <w:rsid w:val="007D69DA"/>
    <w:rsid w:val="007D70B1"/>
    <w:rsid w:val="007D7140"/>
    <w:rsid w:val="007E1CDB"/>
    <w:rsid w:val="007E408C"/>
    <w:rsid w:val="007E7E21"/>
    <w:rsid w:val="007F0460"/>
    <w:rsid w:val="007F0DA2"/>
    <w:rsid w:val="007F39CE"/>
    <w:rsid w:val="007F5E0D"/>
    <w:rsid w:val="007F79D0"/>
    <w:rsid w:val="00801085"/>
    <w:rsid w:val="00801A89"/>
    <w:rsid w:val="008053E9"/>
    <w:rsid w:val="00812138"/>
    <w:rsid w:val="008151F2"/>
    <w:rsid w:val="0081777A"/>
    <w:rsid w:val="008210E0"/>
    <w:rsid w:val="00824079"/>
    <w:rsid w:val="00831F0A"/>
    <w:rsid w:val="00833A78"/>
    <w:rsid w:val="00835C45"/>
    <w:rsid w:val="0084585F"/>
    <w:rsid w:val="008510DB"/>
    <w:rsid w:val="00853E53"/>
    <w:rsid w:val="0085535C"/>
    <w:rsid w:val="008630EB"/>
    <w:rsid w:val="00864D76"/>
    <w:rsid w:val="008656C9"/>
    <w:rsid w:val="00865821"/>
    <w:rsid w:val="0086711C"/>
    <w:rsid w:val="00867535"/>
    <w:rsid w:val="00875C5B"/>
    <w:rsid w:val="00880CA4"/>
    <w:rsid w:val="00883C5F"/>
    <w:rsid w:val="00891C7D"/>
    <w:rsid w:val="00892FA7"/>
    <w:rsid w:val="008A3301"/>
    <w:rsid w:val="008A4DB1"/>
    <w:rsid w:val="008A4DF1"/>
    <w:rsid w:val="008A5636"/>
    <w:rsid w:val="008B125E"/>
    <w:rsid w:val="008B241C"/>
    <w:rsid w:val="008B408B"/>
    <w:rsid w:val="008B4F11"/>
    <w:rsid w:val="008C2362"/>
    <w:rsid w:val="008C3049"/>
    <w:rsid w:val="008C66FF"/>
    <w:rsid w:val="008C7BE0"/>
    <w:rsid w:val="008D4AE9"/>
    <w:rsid w:val="008D5CF3"/>
    <w:rsid w:val="008D7D39"/>
    <w:rsid w:val="008E3DD0"/>
    <w:rsid w:val="008E4574"/>
    <w:rsid w:val="008F4016"/>
    <w:rsid w:val="008F42FE"/>
    <w:rsid w:val="008F4A00"/>
    <w:rsid w:val="008F5402"/>
    <w:rsid w:val="0090053A"/>
    <w:rsid w:val="00901C2A"/>
    <w:rsid w:val="00903BFF"/>
    <w:rsid w:val="009118C7"/>
    <w:rsid w:val="00913683"/>
    <w:rsid w:val="009164DB"/>
    <w:rsid w:val="00916D5D"/>
    <w:rsid w:val="009225B6"/>
    <w:rsid w:val="00925397"/>
    <w:rsid w:val="00931DD0"/>
    <w:rsid w:val="00932BC9"/>
    <w:rsid w:val="00933A21"/>
    <w:rsid w:val="00934C10"/>
    <w:rsid w:val="00936297"/>
    <w:rsid w:val="0093662A"/>
    <w:rsid w:val="0094060C"/>
    <w:rsid w:val="00942C4B"/>
    <w:rsid w:val="00944196"/>
    <w:rsid w:val="009536E7"/>
    <w:rsid w:val="009606A5"/>
    <w:rsid w:val="0096200F"/>
    <w:rsid w:val="00962F1F"/>
    <w:rsid w:val="00965304"/>
    <w:rsid w:val="00971293"/>
    <w:rsid w:val="00973A3B"/>
    <w:rsid w:val="009750B6"/>
    <w:rsid w:val="00983EAE"/>
    <w:rsid w:val="0098760B"/>
    <w:rsid w:val="009A11DD"/>
    <w:rsid w:val="009A6764"/>
    <w:rsid w:val="009B30AA"/>
    <w:rsid w:val="009B5217"/>
    <w:rsid w:val="009C268F"/>
    <w:rsid w:val="009C48DE"/>
    <w:rsid w:val="009D1E10"/>
    <w:rsid w:val="009D35E3"/>
    <w:rsid w:val="009D60D9"/>
    <w:rsid w:val="009E0901"/>
    <w:rsid w:val="009E1E1E"/>
    <w:rsid w:val="009E33E3"/>
    <w:rsid w:val="009E7F16"/>
    <w:rsid w:val="009F5052"/>
    <w:rsid w:val="009F7729"/>
    <w:rsid w:val="00A0198A"/>
    <w:rsid w:val="00A02993"/>
    <w:rsid w:val="00A03083"/>
    <w:rsid w:val="00A04C85"/>
    <w:rsid w:val="00A100F0"/>
    <w:rsid w:val="00A156E6"/>
    <w:rsid w:val="00A177C5"/>
    <w:rsid w:val="00A2553E"/>
    <w:rsid w:val="00A27D86"/>
    <w:rsid w:val="00A30A3D"/>
    <w:rsid w:val="00A33151"/>
    <w:rsid w:val="00A36970"/>
    <w:rsid w:val="00A41EB4"/>
    <w:rsid w:val="00A44BFF"/>
    <w:rsid w:val="00A44EAF"/>
    <w:rsid w:val="00A501E3"/>
    <w:rsid w:val="00A50F0C"/>
    <w:rsid w:val="00A56441"/>
    <w:rsid w:val="00A65DFA"/>
    <w:rsid w:val="00A664D0"/>
    <w:rsid w:val="00A736DD"/>
    <w:rsid w:val="00A82869"/>
    <w:rsid w:val="00A8758C"/>
    <w:rsid w:val="00A9539B"/>
    <w:rsid w:val="00A97BC9"/>
    <w:rsid w:val="00AA127E"/>
    <w:rsid w:val="00AA19AE"/>
    <w:rsid w:val="00AA423D"/>
    <w:rsid w:val="00AA4451"/>
    <w:rsid w:val="00AA6A95"/>
    <w:rsid w:val="00AB10DE"/>
    <w:rsid w:val="00AB3668"/>
    <w:rsid w:val="00AB5ED7"/>
    <w:rsid w:val="00AC0B4C"/>
    <w:rsid w:val="00AC5488"/>
    <w:rsid w:val="00AD0AEE"/>
    <w:rsid w:val="00AD2A84"/>
    <w:rsid w:val="00AD49E3"/>
    <w:rsid w:val="00AD4B4F"/>
    <w:rsid w:val="00AF0616"/>
    <w:rsid w:val="00AF0E28"/>
    <w:rsid w:val="00AF6F9B"/>
    <w:rsid w:val="00B01409"/>
    <w:rsid w:val="00B10DBD"/>
    <w:rsid w:val="00B14FCB"/>
    <w:rsid w:val="00B15629"/>
    <w:rsid w:val="00B2179F"/>
    <w:rsid w:val="00B226A6"/>
    <w:rsid w:val="00B2372C"/>
    <w:rsid w:val="00B32295"/>
    <w:rsid w:val="00B32F70"/>
    <w:rsid w:val="00B373D0"/>
    <w:rsid w:val="00B43AAA"/>
    <w:rsid w:val="00B53139"/>
    <w:rsid w:val="00B562CE"/>
    <w:rsid w:val="00B62DE2"/>
    <w:rsid w:val="00B669DC"/>
    <w:rsid w:val="00B74417"/>
    <w:rsid w:val="00B77246"/>
    <w:rsid w:val="00B80264"/>
    <w:rsid w:val="00B835A1"/>
    <w:rsid w:val="00B866CD"/>
    <w:rsid w:val="00B8788E"/>
    <w:rsid w:val="00B91B56"/>
    <w:rsid w:val="00B93034"/>
    <w:rsid w:val="00B9413B"/>
    <w:rsid w:val="00B97C5D"/>
    <w:rsid w:val="00BA1290"/>
    <w:rsid w:val="00BA399D"/>
    <w:rsid w:val="00BB1649"/>
    <w:rsid w:val="00BB2792"/>
    <w:rsid w:val="00BB76BF"/>
    <w:rsid w:val="00BC1AD1"/>
    <w:rsid w:val="00BC4A58"/>
    <w:rsid w:val="00BC613B"/>
    <w:rsid w:val="00BD51D9"/>
    <w:rsid w:val="00BD64E2"/>
    <w:rsid w:val="00BE4995"/>
    <w:rsid w:val="00BF1523"/>
    <w:rsid w:val="00BF3E60"/>
    <w:rsid w:val="00BF429A"/>
    <w:rsid w:val="00BF62BE"/>
    <w:rsid w:val="00BF7B57"/>
    <w:rsid w:val="00C0494A"/>
    <w:rsid w:val="00C07126"/>
    <w:rsid w:val="00C14E0D"/>
    <w:rsid w:val="00C1511E"/>
    <w:rsid w:val="00C16853"/>
    <w:rsid w:val="00C20CF0"/>
    <w:rsid w:val="00C25B16"/>
    <w:rsid w:val="00C263F0"/>
    <w:rsid w:val="00C33D41"/>
    <w:rsid w:val="00C37553"/>
    <w:rsid w:val="00C40AFD"/>
    <w:rsid w:val="00C41B6F"/>
    <w:rsid w:val="00C41E20"/>
    <w:rsid w:val="00C42E3E"/>
    <w:rsid w:val="00C51C13"/>
    <w:rsid w:val="00C525A5"/>
    <w:rsid w:val="00C5300F"/>
    <w:rsid w:val="00C54594"/>
    <w:rsid w:val="00C60847"/>
    <w:rsid w:val="00C66CE0"/>
    <w:rsid w:val="00C70027"/>
    <w:rsid w:val="00C71BED"/>
    <w:rsid w:val="00C737B2"/>
    <w:rsid w:val="00C81B53"/>
    <w:rsid w:val="00C82AD2"/>
    <w:rsid w:val="00C90FB6"/>
    <w:rsid w:val="00C9220E"/>
    <w:rsid w:val="00C932BD"/>
    <w:rsid w:val="00C93429"/>
    <w:rsid w:val="00CA05F9"/>
    <w:rsid w:val="00CA16C5"/>
    <w:rsid w:val="00CA3187"/>
    <w:rsid w:val="00CA415A"/>
    <w:rsid w:val="00CA7A35"/>
    <w:rsid w:val="00CB1536"/>
    <w:rsid w:val="00CB75C1"/>
    <w:rsid w:val="00CB7FB8"/>
    <w:rsid w:val="00CC1F71"/>
    <w:rsid w:val="00CC5588"/>
    <w:rsid w:val="00CC5EB3"/>
    <w:rsid w:val="00CC7A25"/>
    <w:rsid w:val="00CD0E7B"/>
    <w:rsid w:val="00CD2ABD"/>
    <w:rsid w:val="00CD4024"/>
    <w:rsid w:val="00CD4617"/>
    <w:rsid w:val="00CD4855"/>
    <w:rsid w:val="00CD4E86"/>
    <w:rsid w:val="00CD7387"/>
    <w:rsid w:val="00CE6B16"/>
    <w:rsid w:val="00CE6D43"/>
    <w:rsid w:val="00CE7888"/>
    <w:rsid w:val="00CE7F3D"/>
    <w:rsid w:val="00CF146F"/>
    <w:rsid w:val="00D10B67"/>
    <w:rsid w:val="00D10E1C"/>
    <w:rsid w:val="00D161A3"/>
    <w:rsid w:val="00D20CA1"/>
    <w:rsid w:val="00D22E49"/>
    <w:rsid w:val="00D23716"/>
    <w:rsid w:val="00D25ED8"/>
    <w:rsid w:val="00D27F8F"/>
    <w:rsid w:val="00D316B8"/>
    <w:rsid w:val="00D31CFC"/>
    <w:rsid w:val="00D3255D"/>
    <w:rsid w:val="00D340C3"/>
    <w:rsid w:val="00D36954"/>
    <w:rsid w:val="00D36BD3"/>
    <w:rsid w:val="00D409CD"/>
    <w:rsid w:val="00D423D4"/>
    <w:rsid w:val="00D42CAF"/>
    <w:rsid w:val="00D43934"/>
    <w:rsid w:val="00D527D9"/>
    <w:rsid w:val="00D5310F"/>
    <w:rsid w:val="00D601EF"/>
    <w:rsid w:val="00D61533"/>
    <w:rsid w:val="00D63B2F"/>
    <w:rsid w:val="00D70747"/>
    <w:rsid w:val="00D7261D"/>
    <w:rsid w:val="00D755FC"/>
    <w:rsid w:val="00D76B6D"/>
    <w:rsid w:val="00D84D07"/>
    <w:rsid w:val="00D8526A"/>
    <w:rsid w:val="00D90E91"/>
    <w:rsid w:val="00DA25A8"/>
    <w:rsid w:val="00DB60E1"/>
    <w:rsid w:val="00DC11ED"/>
    <w:rsid w:val="00DC1347"/>
    <w:rsid w:val="00DC39F1"/>
    <w:rsid w:val="00DD7603"/>
    <w:rsid w:val="00DE4B35"/>
    <w:rsid w:val="00DF19C1"/>
    <w:rsid w:val="00DF2C64"/>
    <w:rsid w:val="00DF4FFD"/>
    <w:rsid w:val="00DF54CA"/>
    <w:rsid w:val="00DF56C9"/>
    <w:rsid w:val="00DF5B64"/>
    <w:rsid w:val="00E006B9"/>
    <w:rsid w:val="00E02794"/>
    <w:rsid w:val="00E043E3"/>
    <w:rsid w:val="00E0505B"/>
    <w:rsid w:val="00E11280"/>
    <w:rsid w:val="00E12359"/>
    <w:rsid w:val="00E127A7"/>
    <w:rsid w:val="00E152FF"/>
    <w:rsid w:val="00E17A47"/>
    <w:rsid w:val="00E2461B"/>
    <w:rsid w:val="00E24886"/>
    <w:rsid w:val="00E267FF"/>
    <w:rsid w:val="00E276FB"/>
    <w:rsid w:val="00E32595"/>
    <w:rsid w:val="00E32DC6"/>
    <w:rsid w:val="00E33A74"/>
    <w:rsid w:val="00E4030B"/>
    <w:rsid w:val="00E41D56"/>
    <w:rsid w:val="00E457DF"/>
    <w:rsid w:val="00E46642"/>
    <w:rsid w:val="00E5139A"/>
    <w:rsid w:val="00E5413D"/>
    <w:rsid w:val="00E57977"/>
    <w:rsid w:val="00E62B5F"/>
    <w:rsid w:val="00E635D7"/>
    <w:rsid w:val="00E70576"/>
    <w:rsid w:val="00E71DED"/>
    <w:rsid w:val="00E77059"/>
    <w:rsid w:val="00E771FC"/>
    <w:rsid w:val="00E83954"/>
    <w:rsid w:val="00E91730"/>
    <w:rsid w:val="00E96F04"/>
    <w:rsid w:val="00E97AEC"/>
    <w:rsid w:val="00EA20FE"/>
    <w:rsid w:val="00EA43B8"/>
    <w:rsid w:val="00EB1E05"/>
    <w:rsid w:val="00EB491E"/>
    <w:rsid w:val="00EB681B"/>
    <w:rsid w:val="00EC4FAD"/>
    <w:rsid w:val="00ED3637"/>
    <w:rsid w:val="00EE3CFA"/>
    <w:rsid w:val="00EE69E4"/>
    <w:rsid w:val="00EF2A7F"/>
    <w:rsid w:val="00EF7E90"/>
    <w:rsid w:val="00F002B6"/>
    <w:rsid w:val="00F07B05"/>
    <w:rsid w:val="00F10AFE"/>
    <w:rsid w:val="00F15C6C"/>
    <w:rsid w:val="00F17173"/>
    <w:rsid w:val="00F20987"/>
    <w:rsid w:val="00F224DC"/>
    <w:rsid w:val="00F2687F"/>
    <w:rsid w:val="00F26A5E"/>
    <w:rsid w:val="00F27F29"/>
    <w:rsid w:val="00F32D54"/>
    <w:rsid w:val="00F35DC5"/>
    <w:rsid w:val="00F36C54"/>
    <w:rsid w:val="00F4093C"/>
    <w:rsid w:val="00F418EA"/>
    <w:rsid w:val="00F41A29"/>
    <w:rsid w:val="00F44C1C"/>
    <w:rsid w:val="00F518DF"/>
    <w:rsid w:val="00F544DB"/>
    <w:rsid w:val="00F6153B"/>
    <w:rsid w:val="00F6502E"/>
    <w:rsid w:val="00F65663"/>
    <w:rsid w:val="00F75147"/>
    <w:rsid w:val="00F756C0"/>
    <w:rsid w:val="00F75A40"/>
    <w:rsid w:val="00F77637"/>
    <w:rsid w:val="00F8435D"/>
    <w:rsid w:val="00F862E5"/>
    <w:rsid w:val="00F866FC"/>
    <w:rsid w:val="00F87DD0"/>
    <w:rsid w:val="00F93360"/>
    <w:rsid w:val="00F93FE4"/>
    <w:rsid w:val="00F97229"/>
    <w:rsid w:val="00F97E4E"/>
    <w:rsid w:val="00FA1A40"/>
    <w:rsid w:val="00FA217B"/>
    <w:rsid w:val="00FB0BC5"/>
    <w:rsid w:val="00FB0BCC"/>
    <w:rsid w:val="00FC0FE5"/>
    <w:rsid w:val="00FC2E43"/>
    <w:rsid w:val="00FC3FBF"/>
    <w:rsid w:val="00FC4F4E"/>
    <w:rsid w:val="00FC62BA"/>
    <w:rsid w:val="00FD0E86"/>
    <w:rsid w:val="00FD1ABC"/>
    <w:rsid w:val="00FD7DDF"/>
    <w:rsid w:val="00FE4C92"/>
    <w:rsid w:val="00FF0FAA"/>
    <w:rsid w:val="00FF3759"/>
    <w:rsid w:val="00FF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,"/>
  <w15:docId w15:val="{421FE53E-CC04-4C47-A0F4-E678814EA14D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mt-MT" w:eastAsia="fr-FR" w:bidi="fr-FR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 w:qFormat="1"/>
    <w:lsdException w:name="annotation text" w:semiHidden="1" w:uiPriority="0" w:unhideWhenUsed="1"/>
    <w:lsdException w:name="header" w:locked="1" w:semiHidden="1" w:uiPriority="0" w:unhideWhenUsed="1" w:qFormat="1"/>
    <w:lsdException w:name="footer" w:locked="1" w:semiHidden="1" w:uiPriority="0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31AE"/>
    <w:pPr>
      <w:overflowPunct w:val="0"/>
      <w:autoSpaceDE w:val="0"/>
      <w:autoSpaceDN w:val="0"/>
      <w:adjustRightInd w:val="0"/>
      <w:spacing w:line="288" w:lineRule="auto"/>
      <w:jc w:val="both"/>
      <w:textAlignment w:val="baseline"/>
    </w:pPr>
    <w:rPr>
      <w:szCs w:val="20"/>
    </w:rPr>
  </w:style>
  <w:style w:type="paragraph" w:styleId="Heading1">
    <w:name w:val="heading 1"/>
    <w:basedOn w:val="Normal"/>
    <w:next w:val="Normal"/>
    <w:link w:val="Heading1Char"/>
    <w:qFormat/>
    <w:rsid w:val="002131AE"/>
    <w:pPr>
      <w:numPr>
        <w:numId w:val="1"/>
      </w:numPr>
      <w:ind w:left="720" w:hanging="720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2131AE"/>
    <w:pPr>
      <w:numPr>
        <w:ilvl w:val="1"/>
        <w:numId w:val="1"/>
      </w:numPr>
      <w:ind w:left="720" w:hanging="720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2131AE"/>
    <w:pPr>
      <w:numPr>
        <w:ilvl w:val="2"/>
        <w:numId w:val="1"/>
      </w:numPr>
      <w:ind w:left="720" w:hanging="72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2131AE"/>
    <w:pPr>
      <w:numPr>
        <w:ilvl w:val="3"/>
        <w:numId w:val="1"/>
      </w:numPr>
      <w:ind w:left="720" w:hanging="720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2131AE"/>
    <w:pPr>
      <w:numPr>
        <w:ilvl w:val="4"/>
        <w:numId w:val="1"/>
      </w:numPr>
      <w:ind w:left="720" w:hanging="720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2131AE"/>
    <w:pPr>
      <w:numPr>
        <w:ilvl w:val="5"/>
        <w:numId w:val="1"/>
      </w:numPr>
      <w:ind w:left="720" w:hanging="720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2131AE"/>
    <w:pPr>
      <w:numPr>
        <w:ilvl w:val="6"/>
        <w:numId w:val="1"/>
      </w:numPr>
      <w:ind w:left="720" w:hanging="72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2131AE"/>
    <w:pPr>
      <w:numPr>
        <w:ilvl w:val="7"/>
        <w:numId w:val="1"/>
      </w:numPr>
      <w:ind w:left="720" w:hanging="720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2131AE"/>
    <w:pPr>
      <w:numPr>
        <w:ilvl w:val="8"/>
        <w:numId w:val="1"/>
      </w:numPr>
      <w:ind w:left="72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CB1536"/>
    <w:rPr>
      <w:kern w:val="28"/>
      <w:szCs w:val="20"/>
      <w:lang w:eastAsia="fr-FR" w:bidi="fr-FR"/>
    </w:rPr>
  </w:style>
  <w:style w:type="character" w:customStyle="1" w:styleId="Heading2Char">
    <w:name w:val="Heading 2 Char"/>
    <w:basedOn w:val="DefaultParagraphFont"/>
    <w:link w:val="Heading2"/>
    <w:locked/>
    <w:rsid w:val="00CB1536"/>
    <w:rPr>
      <w:szCs w:val="20"/>
      <w:lang w:eastAsia="fr-FR" w:bidi="fr-FR"/>
    </w:rPr>
  </w:style>
  <w:style w:type="character" w:customStyle="1" w:styleId="Heading3Char">
    <w:name w:val="Heading 3 Char"/>
    <w:basedOn w:val="DefaultParagraphFont"/>
    <w:link w:val="Heading3"/>
    <w:locked/>
    <w:rsid w:val="00CB1536"/>
    <w:rPr>
      <w:szCs w:val="20"/>
      <w:lang w:eastAsia="fr-FR" w:bidi="fr-FR"/>
    </w:rPr>
  </w:style>
  <w:style w:type="character" w:customStyle="1" w:styleId="Heading4Char">
    <w:name w:val="Heading 4 Char"/>
    <w:basedOn w:val="DefaultParagraphFont"/>
    <w:link w:val="Heading4"/>
    <w:locked/>
    <w:rsid w:val="00CB1536"/>
    <w:rPr>
      <w:szCs w:val="20"/>
      <w:lang w:eastAsia="fr-FR" w:bidi="fr-FR"/>
    </w:rPr>
  </w:style>
  <w:style w:type="character" w:customStyle="1" w:styleId="Heading5Char">
    <w:name w:val="Heading 5 Char"/>
    <w:basedOn w:val="DefaultParagraphFont"/>
    <w:link w:val="Heading5"/>
    <w:locked/>
    <w:rsid w:val="00CB1536"/>
    <w:rPr>
      <w:szCs w:val="20"/>
      <w:lang w:eastAsia="fr-FR" w:bidi="fr-FR"/>
    </w:rPr>
  </w:style>
  <w:style w:type="character" w:customStyle="1" w:styleId="Heading6Char">
    <w:name w:val="Heading 6 Char"/>
    <w:basedOn w:val="DefaultParagraphFont"/>
    <w:link w:val="Heading6"/>
    <w:locked/>
    <w:rsid w:val="00CB1536"/>
    <w:rPr>
      <w:szCs w:val="20"/>
      <w:lang w:eastAsia="fr-FR" w:bidi="fr-FR"/>
    </w:rPr>
  </w:style>
  <w:style w:type="character" w:customStyle="1" w:styleId="Heading7Char">
    <w:name w:val="Heading 7 Char"/>
    <w:basedOn w:val="DefaultParagraphFont"/>
    <w:link w:val="Heading7"/>
    <w:locked/>
    <w:rsid w:val="00CB1536"/>
    <w:rPr>
      <w:szCs w:val="20"/>
      <w:lang w:eastAsia="fr-FR" w:bidi="fr-FR"/>
    </w:rPr>
  </w:style>
  <w:style w:type="character" w:customStyle="1" w:styleId="Heading8Char">
    <w:name w:val="Heading 8 Char"/>
    <w:basedOn w:val="DefaultParagraphFont"/>
    <w:link w:val="Heading8"/>
    <w:locked/>
    <w:rsid w:val="00CB1536"/>
    <w:rPr>
      <w:szCs w:val="20"/>
      <w:lang w:eastAsia="fr-FR" w:bidi="fr-FR"/>
    </w:rPr>
  </w:style>
  <w:style w:type="character" w:customStyle="1" w:styleId="Heading9Char">
    <w:name w:val="Heading 9 Char"/>
    <w:basedOn w:val="DefaultParagraphFont"/>
    <w:link w:val="Heading9"/>
    <w:locked/>
    <w:rsid w:val="00CB1536"/>
    <w:rPr>
      <w:szCs w:val="20"/>
      <w:lang w:eastAsia="fr-FR" w:bidi="fr-FR"/>
    </w:rPr>
  </w:style>
  <w:style w:type="paragraph" w:styleId="Footer">
    <w:name w:val="footer"/>
    <w:basedOn w:val="Normal"/>
    <w:link w:val="FooterChar"/>
    <w:rsid w:val="002131AE"/>
  </w:style>
  <w:style w:type="character" w:customStyle="1" w:styleId="FooterChar">
    <w:name w:val="Footer Char"/>
    <w:basedOn w:val="DefaultParagraphFont"/>
    <w:link w:val="Footer"/>
    <w:locked/>
    <w:rsid w:val="00CB1536"/>
    <w:rPr>
      <w:szCs w:val="20"/>
    </w:rPr>
  </w:style>
  <w:style w:type="paragraph" w:styleId="FootnoteText">
    <w:name w:val="footnote text"/>
    <w:basedOn w:val="Normal"/>
    <w:link w:val="FootnoteTextChar"/>
    <w:rsid w:val="002131AE"/>
    <w:pPr>
      <w:keepLines/>
      <w:spacing w:after="60" w:line="240" w:lineRule="auto"/>
      <w:ind w:left="720" w:hanging="720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locked/>
    <w:rsid w:val="00CB1536"/>
    <w:rPr>
      <w:sz w:val="16"/>
      <w:szCs w:val="20"/>
      <w:lang w:eastAsia="fr-FR" w:bidi="fr-FR"/>
    </w:rPr>
  </w:style>
  <w:style w:type="paragraph" w:styleId="Header">
    <w:name w:val="header"/>
    <w:basedOn w:val="Normal"/>
    <w:link w:val="HeaderChar"/>
    <w:rsid w:val="002131AE"/>
  </w:style>
  <w:style w:type="character" w:customStyle="1" w:styleId="HeaderChar">
    <w:name w:val="Header Char"/>
    <w:basedOn w:val="DefaultParagraphFont"/>
    <w:link w:val="Header"/>
    <w:locked/>
    <w:rsid w:val="00CB1536"/>
    <w:rPr>
      <w:szCs w:val="20"/>
    </w:rPr>
  </w:style>
  <w:style w:type="character" w:styleId="Hyperlink">
    <w:name w:val="Hyperlink"/>
    <w:basedOn w:val="DefaultParagraphFont"/>
    <w:uiPriority w:val="99"/>
    <w:rsid w:val="00934C10"/>
    <w:rPr>
      <w:color w:val="0000FF"/>
      <w:u w:val="single"/>
    </w:rPr>
  </w:style>
  <w:style w:type="character" w:styleId="FootnoteReference">
    <w:name w:val="footnote reference"/>
    <w:basedOn w:val="DefaultParagraphFont"/>
    <w:rsid w:val="002131AE"/>
    <w:rPr>
      <w:sz w:val="24"/>
      <w:vertAlign w:val="superscript"/>
    </w:rPr>
  </w:style>
  <w:style w:type="character" w:styleId="FollowedHyperlink">
    <w:name w:val="FollowedHyperlink"/>
    <w:basedOn w:val="DefaultParagraphFont"/>
    <w:uiPriority w:val="99"/>
    <w:rsid w:val="00934C10"/>
    <w:rPr>
      <w:color w:val="800080"/>
      <w:u w:val="single"/>
    </w:rPr>
  </w:style>
  <w:style w:type="paragraph" w:customStyle="1" w:styleId="LOGO">
    <w:name w:val="LOGO"/>
    <w:basedOn w:val="Normal"/>
    <w:uiPriority w:val="99"/>
    <w:rsid w:val="00934C10"/>
    <w:pPr>
      <w:jc w:val="center"/>
    </w:pPr>
    <w:rPr>
      <w:rFonts w:ascii="Arial" w:hAnsi="Arial" w:cs="Arial"/>
      <w:b/>
      <w:bCs/>
      <w:i/>
      <w:iCs/>
      <w:sz w:val="20"/>
    </w:rPr>
  </w:style>
  <w:style w:type="paragraph" w:styleId="Revision">
    <w:name w:val="Revision"/>
    <w:hidden/>
    <w:uiPriority w:val="99"/>
    <w:semiHidden/>
    <w:rsid w:val="00B2372C"/>
  </w:style>
  <w:style w:type="table" w:styleId="TableGrid">
    <w:name w:val="Table Grid"/>
    <w:basedOn w:val="TableNormal"/>
    <w:locked/>
    <w:rsid w:val="00EB1E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3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4.xml"/><Relationship Id="rId21" Type="http://schemas.openxmlformats.org/officeDocument/2006/relationships/customXml" Target="../customXml/item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openxmlformats.org/officeDocument/2006/relationships/customXml" Target="../customXml/item4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customXml" Target="../customXml/item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xUriServ/LexUriServ.do?uri=OJ:C:2019:240:SOM:MT:HTML" TargetMode="Externa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B2B329A7DAC4C144A75447C3256C027E" ma:contentTypeVersion="5" ma:contentTypeDescription="Defines the documents for Document Manager V2" ma:contentTypeScope="" ma:versionID="0d91993552fe3556fbffcde22d41e5eb">
  <xsd:schema xmlns:xsd="http://www.w3.org/2001/XMLSchema" xmlns:xs="http://www.w3.org/2001/XMLSchema" xmlns:p="http://schemas.microsoft.com/office/2006/metadata/properties" xmlns:ns2="cda99570-6012-4083-bfeb-7d32ad1ce1a3" xmlns:ns3="http://schemas.microsoft.com/sharepoint/v3/fields" xmlns:ns4="fe314fe7-af03-4a89-9224-0704990312b2" targetNamespace="http://schemas.microsoft.com/office/2006/metadata/properties" ma:root="true" ma:fieldsID="8ecbf314780697a2217be5444707e891" ns2:_="" ns3:_="" ns4:_="">
    <xsd:import namespace="cda99570-6012-4083-bfeb-7d32ad1ce1a3"/>
    <xsd:import namespace="http://schemas.microsoft.com/sharepoint/v3/fields"/>
    <xsd:import namespace="fe314fe7-af03-4a89-9224-0704990312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  <xsd:element ref="ns2:OriginalSend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a99570-6012-4083-bfeb-7d32ad1ce1a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0d0d295d-627a-4c5d-a1a5-11c9952cac30}" ma:internalName="TaxCatchAll" ma:showField="CatchAllData" ma:web="cda99570-6012-4083-bfeb-7d32ad1ce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0d0d295d-627a-4c5d-a1a5-11c9952cac30}" ma:internalName="TaxCatchAllLabel" ma:readOnly="true" ma:showField="CatchAllDataLabel" ma:web="cda99570-6012-4083-bfeb-7d32ad1ce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  <xsd:element name="OriginalSender" ma:index="47" nillable="true" ma:displayName="Original Sender" ma:internalName="OriginalSen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314fe7-af03-4a89-9224-0704990312b2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a99570-6012-4083-bfeb-7d32ad1ce1a3">VV634QRNENMJ-592872750-7561</_dlc_DocId>
    <_dlc_DocIdUrl xmlns="cda99570-6012-4083-bfeb-7d32ad1ce1a3">
      <Url>http://dm2016/eesc/2020/_layouts/15/DocIdRedir.aspx?ID=VV634QRNENMJ-592872750-7561</Url>
      <Description>VV634QRNENMJ-592872750-7561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</TermName>
          <TermId xmlns="http://schemas.microsoft.com/office/infopath/2007/PartnerControls">a4cc1d15-fb08-4679-ad46-e4e0cba5fe92</TermId>
        </TermInfo>
      </Terms>
    </DocumentType_0>
    <Procedure xmlns="cda99570-6012-4083-bfeb-7d32ad1ce1a3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cda99570-6012-4083-bfeb-7d32ad1ce1a3">2021-04-13T12:00:00+00:00</ProductionDate>
    <DocumentNumber xmlns="fe314fe7-af03-4a89-9224-0704990312b2">4884</DocumentNumber>
    <FicheYear xmlns="cda99570-6012-4083-bfeb-7d32ad1ce1a3" xsi:nil="true"/>
    <DocumentVersion xmlns="cda99570-6012-4083-bfeb-7d32ad1ce1a3">1</DocumentVersion>
    <DossierNumber xmlns="cda99570-6012-4083-bfeb-7d32ad1ce1a3">723</DossierNumber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cda99570-6012-4083-bfeb-7d32ad1ce1a3" xsi:nil="true"/>
    <TaxCatchAll xmlns="cda99570-6012-4083-bfeb-7d32ad1ce1a3">
      <Value>70</Value>
      <Value>69</Value>
      <Value>48</Value>
      <Value>47</Value>
      <Value>46</Value>
      <Value>45</Value>
      <Value>44</Value>
      <Value>43</Value>
      <Value>41</Value>
      <Value>40</Value>
      <Value>39</Value>
      <Value>38</Value>
      <Value>36</Value>
      <Value>34</Value>
      <Value>32</Value>
      <Value>31</Value>
      <Value>30</Value>
      <Value>29</Value>
      <Value>28</Value>
      <Value>24</Value>
      <Value>16</Value>
      <Value>13</Value>
      <Value>11</Value>
      <Value>10</Value>
      <Value>9</Value>
      <Value>6</Value>
      <Value>5</Value>
      <Value>4</Value>
      <Value>2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</Terms>
    </DocumentLanguage_0>
    <Rapporteur xmlns="cda99570-6012-4083-bfeb-7d32ad1ce1a3">PLOSCEANU &amp; COULON</Rapporteur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DocumentYear xmlns="cda99570-6012-4083-bfeb-7d32ad1ce1a3">2020</DocumentYear>
    <FicheNumber xmlns="cda99570-6012-4083-bfeb-7d32ad1ce1a3">4962</FicheNumber>
    <DocumentPart xmlns="cda99570-6012-4083-bfeb-7d32ad1ce1a3">0</DocumentPart>
    <AdoptionDate xmlns="cda99570-6012-4083-bfeb-7d32ad1ce1a3">2021-02-24T12:00:00+00:00</AdoptionDate>
    <RequestingService xmlns="cda99570-6012-4083-bfeb-7d32ad1ce1a3">Transports, énergie, infrastructures, société de l'information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GA</TermName>
          <TermId xmlns="http://schemas.microsoft.com/office/infopath/2007/PartnerControls">762d2456-c427-4ecb-b312-af3dad8e258c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</Terms>
    </OriginalLanguage_0>
    <MeetingNumber xmlns="fe314fe7-af03-4a89-9224-0704990312b2" xsi:nil="true"/>
    <Dossier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TEN</TermName>
          <TermId xmlns="http://schemas.microsoft.com/office/infopath/2007/PartnerControls">5e12260d-3aca-41f8-baf2-ad3d18475f10</TermId>
        </TermInfo>
      </Terms>
    </DossierName_0>
    <OriginalSender xmlns="cda99570-6012-4083-bfeb-7d32ad1ce1a3">
      <UserInfo>
        <DisplayName/>
        <AccountId xsi:nil="true"/>
        <AccountType/>
      </UserInfo>
    </OriginalSender>
  </documentManagement>
</p:properties>
</file>

<file path=customXml/itemProps1.xml><?xml version="1.0" encoding="utf-8"?>
<ds:datastoreItem xmlns:ds="http://schemas.openxmlformats.org/officeDocument/2006/customXml" ds:itemID="{D792F844-6D9E-4E60-9950-CBFD35FB9DE4}"/>
</file>

<file path=customXml/itemProps2.xml><?xml version="1.0" encoding="utf-8"?>
<ds:datastoreItem xmlns:ds="http://schemas.openxmlformats.org/officeDocument/2006/customXml" ds:itemID="{CCF758FB-C7BD-4279-A130-40774C573869}"/>
</file>

<file path=customXml/itemProps3.xml><?xml version="1.0" encoding="utf-8"?>
<ds:datastoreItem xmlns:ds="http://schemas.openxmlformats.org/officeDocument/2006/customXml" ds:itemID="{1FCFFDBF-14E2-499A-ABB6-B295E8D135E2}"/>
</file>

<file path=customXml/itemProps4.xml><?xml version="1.0" encoding="utf-8"?>
<ds:datastoreItem xmlns:ds="http://schemas.openxmlformats.org/officeDocument/2006/customXml" ds:itemID="{3B773220-1765-4C70-80DA-719E8C46AF4B}"/>
</file>

<file path=docProps/app.xml><?xml version="1.0" encoding="utf-8"?>
<Properties xmlns="http://schemas.openxmlformats.org/officeDocument/2006/extended-properties" xmlns:vt="http://schemas.openxmlformats.org/officeDocument/2006/docPropsVTypes">
  <Template>Styles.dotm</Template>
  <TotalTime>6</TotalTime>
  <Pages>6</Pages>
  <Words>3392</Words>
  <Characters>19341</Characters>
  <Application>Microsoft Office Word</Application>
  <DocSecurity>0</DocSecurity>
  <Lines>161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Une vague de rénovations pour l'Europe</vt:lpstr>
      <vt:lpstr>European Agenda on Migration: Second implementation package - A permanent crisis relocation mechanism under the Dublin system</vt:lpstr>
    </vt:vector>
  </TitlesOfParts>
  <Company>CESE-CdR</Company>
  <LinksUpToDate>false</LinksUpToDate>
  <CharactersWithSpaces>22688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Mewġa ta rinnovazzjoni għall-Ewropa</dc:title>
  <dc:subject>AC</dc:subject>
  <dc:creator>Emma Nieddu</dc:creator>
  <cp:keywords>EESC-2020-04884-00-01-AC-TRA-FR</cp:keywords>
  <dc:description>Rapporteur: PLOSCEANU &amp; COULON - Original language: FR - Date of document: 13/04/2021 - Date of meeting:  - External documents: COM(2020)662-final - Administrator: Mme JANICAUDNÉ BAZSIK Agota</dc:description>
  <cp:lastModifiedBy>Farrugia Carmel</cp:lastModifiedBy>
  <cp:revision>7</cp:revision>
  <cp:lastPrinted>2016-01-26T08:31:00Z</cp:lastPrinted>
  <dcterms:created xsi:type="dcterms:W3CDTF">2021-04-12T10:08:00Z</dcterms:created>
  <dcterms:modified xsi:type="dcterms:W3CDTF">2021-04-12T11:16:00Z</dcterms:modified>
  <cp:category>TEN/723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12/04/2021, 10/03/2021, 16/02/2021, 27/01/2021, 27/01/2021, 08/01/2021, 06/01/2021, 11/12/2020, 10/12/2020, 04/11/2015, 27/10/2015, 19/10/2015, 09/10/2015, 05/10/2015, 05/10/2015, 26/08/2015, 26/08/2015, 25/08/2015</vt:lpwstr>
  </property>
  <property fmtid="{D5CDD505-2E9C-101B-9397-08002B2CF9AE}" pid="4" name="Pref_Time">
    <vt:lpwstr>12:08:32, 16:20:05, 14:35:57, 10:56:56, 10:38:31, 17:17:48, 09:39:59, 11:23:07, 12:56:36, 12:10:07, 14:44:02, 16:04:16, 14:09:30, 16:24:55, 16:04:02, 08:56:14, 07:27:56, 17:31:53</vt:lpwstr>
  </property>
  <property fmtid="{D5CDD505-2E9C-101B-9397-08002B2CF9AE}" pid="5" name="Pref_User">
    <vt:lpwstr>hnic, hnic, enied, hnic, YMUR, hnic, hnic, enied, hnic, ssex, enied, amett, tvoc, mreg, mreg, amett, enied, ssex</vt:lpwstr>
  </property>
  <property fmtid="{D5CDD505-2E9C-101B-9397-08002B2CF9AE}" pid="6" name="Pref_FileName">
    <vt:lpwstr>EESC-2020-04884-00-01-AC-ORI.docx, EESC-2020-04884-00-00-AC-TRA-FR-CRR.docx, EESC-2020-04884-00-00-AS-TRA-FR-CRR.docx, EESC-2020-04884-00-00-PA-TRA-EN-CRR.docx, EESC-2020-04884-00-00-PA-CRR-EN.docx, EESC-2020-04884-00-01-APA-TRA-FR-CRR.docx, EESC-2020-048</vt:lpwstr>
  </property>
  <property fmtid="{D5CDD505-2E9C-101B-9397-08002B2CF9AE}" pid="7" name="ContentTypeId">
    <vt:lpwstr>0x010100EA97B91038054C99906057A708A1480A00B2B329A7DAC4C144A75447C3256C027E</vt:lpwstr>
  </property>
  <property fmtid="{D5CDD505-2E9C-101B-9397-08002B2CF9AE}" pid="8" name="_dlc_DocIdItemGuid">
    <vt:lpwstr>70d99744-0cea-4d32-8d9f-da3dd3041c34</vt:lpwstr>
  </property>
  <property fmtid="{D5CDD505-2E9C-101B-9397-08002B2CF9AE}" pid="9" name="AvailableTranslations">
    <vt:lpwstr>32;#DA|5d49c027-8956-412b-aa16-e85a0f96ad0e;#24;#LV|46f7e311-5d9f-4663-b433-18aeccb7ace7;#9;#PL|1e03da61-4678-4e07-b136-b5024ca9197b;#40;#SV|c2ed69e7-a339-43d7-8f22-d93680a92aa0;#11;#FR|d2afafd3-4c81-4f60-8f52-ee33f2f54ff3;#31;#CS|72f9705b-0217-4fd3-bea2-cbc7ed80e26e;#34;#SL|98a412ae-eb01-49e9-ae3d-585a81724cfc;#10;#DE|f6b31e5a-26fa-4935-b661-318e46daf27e;#39;#HU|6b229040-c589-4408-b4c1-4285663d20a8;#47;#ET|ff6c3f4c-b02c-4c3c-ab07-2c37995a7a0a;#43;#HR|2f555653-ed1a-4fe6-8362-9082d95989e5;#13;#IT|0774613c-01ed-4e5d-a25d-11d2388de825;#44;#BG|1a1b3951-7821-4e6a-85f5-5673fc08bd2c;#30;#LT|a7ff5ce7-6123-4f68-865a-a57c31810414;#4;#EN|f2175f21-25d7-44a3-96da-d6a61b075e1b;#48;#RO|feb747a2-64cd-4299-af12-4833ddc30497;#16;#ES|e7a6b05b-ae16-40c8-add9-68b64b03aeba;#46;#SK|46d9fce0-ef79-4f71-b89b-cd6aa82426b8;#38;#EL|6d4f4d51-af9b-4650-94b4-4276bee85c91;#29;#PT|50ccc04a-eadd-42ae-a0cb-acaf45f812ba;#36;#MT|7df99101-6854-4a26-b53a-b88c0da02c26;#69;#GA|762d2456-c427-4ecb-b312-af3dad8e258c;#41;#NL|55c6556c-b4f4-441d-9acf-c498d4f838bd;#45;#FI|87606a43-d45f-42d6-b8c9-e1a3457db5b7</vt:lpwstr>
  </property>
  <property fmtid="{D5CDD505-2E9C-101B-9397-08002B2CF9AE}" pid="10" name="DocumentType_0">
    <vt:lpwstr>AC|a4cc1d15-fb08-4679-ad46-e4e0cba5fe92</vt:lpwstr>
  </property>
  <property fmtid="{D5CDD505-2E9C-101B-9397-08002B2CF9AE}" pid="11" name="DossierName_0">
    <vt:lpwstr>TEN|5e12260d-3aca-41f8-baf2-ad3d18475f10</vt:lpwstr>
  </property>
  <property fmtid="{D5CDD505-2E9C-101B-9397-08002B2CF9AE}" pid="12" name="DocumentSource_0">
    <vt:lpwstr>EESC|422833ec-8d7e-4e65-8e4e-8bed07ffb729</vt:lpwstr>
  </property>
  <property fmtid="{D5CDD505-2E9C-101B-9397-08002B2CF9AE}" pid="13" name="DocumentNumber">
    <vt:i4>4884</vt:i4>
  </property>
  <property fmtid="{D5CDD505-2E9C-101B-9397-08002B2CF9AE}" pid="14" name="DocumentVersion">
    <vt:i4>1</vt:i4>
  </property>
  <property fmtid="{D5CDD505-2E9C-101B-9397-08002B2CF9AE}" pid="15" name="DossierNumber">
    <vt:i4>723</vt:i4>
  </property>
  <property fmtid="{D5CDD505-2E9C-101B-9397-08002B2CF9AE}" pid="16" name="DocumentStatus">
    <vt:lpwstr>2;#TRA|150d2a88-1431-44e6-a8ca-0bb753ab8672</vt:lpwstr>
  </property>
  <property fmtid="{D5CDD505-2E9C-101B-9397-08002B2CF9AE}" pid="17" name="DocumentPart">
    <vt:i4>0</vt:i4>
  </property>
  <property fmtid="{D5CDD505-2E9C-101B-9397-08002B2CF9AE}" pid="18" name="DossierName">
    <vt:lpwstr>28;#TEN|5e12260d-3aca-41f8-baf2-ad3d18475f10</vt:lpwstr>
  </property>
  <property fmtid="{D5CDD505-2E9C-101B-9397-08002B2CF9AE}" pid="19" name="DocumentSource">
    <vt:lpwstr>1;#EESC|422833ec-8d7e-4e65-8e4e-8bed07ffb729</vt:lpwstr>
  </property>
  <property fmtid="{D5CDD505-2E9C-101B-9397-08002B2CF9AE}" pid="20" name="AdoptionDate">
    <vt:filetime>2021-02-24T12:00:00Z</vt:filetime>
  </property>
  <property fmtid="{D5CDD505-2E9C-101B-9397-08002B2CF9AE}" pid="21" name="DocumentType">
    <vt:lpwstr>70;#AC|a4cc1d15-fb08-4679-ad46-e4e0cba5fe92</vt:lpwstr>
  </property>
  <property fmtid="{D5CDD505-2E9C-101B-9397-08002B2CF9AE}" pid="22" name="RequestingService">
    <vt:lpwstr>Transports, énergie, infrastructures, société de l'information</vt:lpwstr>
  </property>
  <property fmtid="{D5CDD505-2E9C-101B-9397-08002B2CF9AE}" pid="23" name="Confidentiality">
    <vt:lpwstr>5;#Unrestricted|826e22d7-d029-4ec0-a450-0c28ff673572</vt:lpwstr>
  </property>
  <property fmtid="{D5CDD505-2E9C-101B-9397-08002B2CF9AE}" pid="24" name="MeetingName_0">
    <vt:lpwstr/>
  </property>
  <property fmtid="{D5CDD505-2E9C-101B-9397-08002B2CF9AE}" pid="25" name="Confidentiality_0">
    <vt:lpwstr>Unrestricted|826e22d7-d029-4ec0-a450-0c28ff673572</vt:lpwstr>
  </property>
  <property fmtid="{D5CDD505-2E9C-101B-9397-08002B2CF9AE}" pid="26" name="OriginalLanguage">
    <vt:lpwstr>11;#FR|d2afafd3-4c81-4f60-8f52-ee33f2f54ff3</vt:lpwstr>
  </property>
  <property fmtid="{D5CDD505-2E9C-101B-9397-08002B2CF9AE}" pid="27" name="MeetingName">
    <vt:lpwstr/>
  </property>
  <property fmtid="{D5CDD505-2E9C-101B-9397-08002B2CF9AE}" pid="29" name="AvailableTranslations_0">
    <vt:lpwstr>DA|5d49c027-8956-412b-aa16-e85a0f96ad0e;LV|46f7e311-5d9f-4663-b433-18aeccb7ace7;PL|1e03da61-4678-4e07-b136-b5024ca9197b;FR|d2afafd3-4c81-4f60-8f52-ee33f2f54ff3;CS|72f9705b-0217-4fd3-bea2-cbc7ed80e26e;SL|98a412ae-eb01-49e9-ae3d-585a81724cfc;DE|f6b31e5a-26fa-4935-b661-318e46daf27e;HR|2f555653-ed1a-4fe6-8362-9082d95989e5;IT|0774613c-01ed-4e5d-a25d-11d2388de825;EN|f2175f21-25d7-44a3-96da-d6a61b075e1b;ES|e7a6b05b-ae16-40c8-add9-68b64b03aeba;SK|46d9fce0-ef79-4f71-b89b-cd6aa82426b8;EL|6d4f4d51-af9b-4650-94b4-4276bee85c91;PT|50ccc04a-eadd-42ae-a0cb-acaf45f812ba;NL|55c6556c-b4f4-441d-9acf-c498d4f838bd;FI|87606a43-d45f-42d6-b8c9-e1a3457db5b7</vt:lpwstr>
  </property>
  <property fmtid="{D5CDD505-2E9C-101B-9397-08002B2CF9AE}" pid="30" name="DocumentStatus_0">
    <vt:lpwstr>TRA|150d2a88-1431-44e6-a8ca-0bb753ab8672</vt:lpwstr>
  </property>
  <property fmtid="{D5CDD505-2E9C-101B-9397-08002B2CF9AE}" pid="31" name="OriginalLanguage_0">
    <vt:lpwstr>FR|d2afafd3-4c81-4f60-8f52-ee33f2f54ff3</vt:lpwstr>
  </property>
  <property fmtid="{D5CDD505-2E9C-101B-9397-08002B2CF9AE}" pid="32" name="TaxCatchAll">
    <vt:lpwstr>34;#SL|98a412ae-eb01-49e9-ae3d-585a81724cfc;#70;#AC|a4cc1d15-fb08-4679-ad46-e4e0cba5fe92;#32;#DA|5d49c027-8956-412b-aa16-e85a0f96ad0e;#31;#CS|72f9705b-0217-4fd3-bea2-cbc7ed80e26e;#43;#HR|2f555653-ed1a-4fe6-8362-9082d95989e5;#29;#PT|50ccc04a-eadd-42ae-a0cb-acaf45f812ba;#28;#TEN|5e12260d-3aca-41f8-baf2-ad3d18475f10;#24;#LV|46f7e311-5d9f-4663-b433-18aeccb7ace7;#38;#EL|6d4f4d51-af9b-4650-94b4-4276bee85c91;#45;#FI|87606a43-d45f-42d6-b8c9-e1a3457db5b7;#16;#ES|e7a6b05b-ae16-40c8-add9-68b64b03aeba;#13;#IT|0774613c-01ed-4e5d-a25d-11d2388de825;#46;#SK|46d9fce0-ef79-4f71-b89b-cd6aa82426b8;#11;#FR|d2afafd3-4c81-4f60-8f52-ee33f2f54ff3;#10;#DE|f6b31e5a-26fa-4935-b661-318e46daf27e;#9;#PL|1e03da61-4678-4e07-b136-b5024ca9197b;#41;#NL|55c6556c-b4f4-441d-9acf-c498d4f838bd;#6;#Final|ea5e6674-7b27-4bac-b091-73adbb394efe;#5;#Unrestricted|826e22d7-d029-4ec0-a450-0c28ff673572;#4;#EN|f2175f21-25d7-44a3-96da-d6a61b075e1b;#2;#TRA|150d2a88-1431-44e6-a8ca-0bb753ab8672;#1;#EESC|422833ec-8d7e-4e65-8e4e-8bed07ffb729</vt:lpwstr>
  </property>
  <property fmtid="{D5CDD505-2E9C-101B-9397-08002B2CF9AE}" pid="33" name="Rapporteur">
    <vt:lpwstr>PLOSCEANU &amp; COULON</vt:lpwstr>
  </property>
  <property fmtid="{D5CDD505-2E9C-101B-9397-08002B2CF9AE}" pid="34" name="VersionStatus_0">
    <vt:lpwstr>Final|ea5e6674-7b27-4bac-b091-73adbb394efe</vt:lpwstr>
  </property>
  <property fmtid="{D5CDD505-2E9C-101B-9397-08002B2CF9AE}" pid="35" name="VersionStatus">
    <vt:lpwstr>6;#Final|ea5e6674-7b27-4bac-b091-73adbb394efe</vt:lpwstr>
  </property>
  <property fmtid="{D5CDD505-2E9C-101B-9397-08002B2CF9AE}" pid="36" name="DocumentYear">
    <vt:i4>2020</vt:i4>
  </property>
  <property fmtid="{D5CDD505-2E9C-101B-9397-08002B2CF9AE}" pid="37" name="FicheNumber">
    <vt:i4>4962</vt:i4>
  </property>
  <property fmtid="{D5CDD505-2E9C-101B-9397-08002B2CF9AE}" pid="38" name="DocumentLanguage">
    <vt:lpwstr>36;#MT|7df99101-6854-4a26-b53a-b88c0da02c26</vt:lpwstr>
  </property>
</Properties>
</file>