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CC38F0" w14:paraId="5B3BE56A" w14:textId="4EF22F41">
      <w:pPr>
        <w:jc w:val="center"/>
      </w:pPr>
      <w:bookmarkStart w:name="_GoBack" w:id="0"/>
      <w:bookmarkEnd w:id="0"/>
      <w:r>
        <w:rPr>
          <w:noProof/>
          <w:lang w:val="en-US"/>
        </w:rPr>
        <w:drawing>
          <wp:inline distT="0" distB="0" distL="0" distR="0" wp14:anchorId="7CFB1AB7" wp14:editId="5CDDA418">
            <wp:extent cx="1792605" cy="1241425"/>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3C0BB3BE"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024C5A" w:rsidRDefault="00024C5A" w14:paraId="713271A4" w14:textId="77777777">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024C5A" w:rsidRDefault="00024C5A" w14:paraId="713271A4" w14:textId="77777777">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00186E17" w:rsidP="00BC3F01" w:rsidRDefault="00FE7A9F" w14:paraId="01D23116" w14:textId="77777777">
      <w:pPr>
        <w:jc w:val="right"/>
        <w:rPr>
          <w:b/>
        </w:rPr>
      </w:pPr>
      <w:r>
        <w:rPr>
          <w:b/>
        </w:rPr>
        <w:t xml:space="preserve">Rapport om status over energiunionen 2020 og </w:t>
      </w:r>
    </w:p>
    <w:p w:rsidRPr="00DC308B" w:rsidR="00563C84" w:rsidP="00BC3F01" w:rsidRDefault="00FE7A9F" w14:paraId="5B3BE56C" w14:textId="493E9B22">
      <w:pPr>
        <w:jc w:val="right"/>
      </w:pPr>
      <w:r>
        <w:rPr>
          <w:b/>
        </w:rPr>
        <w:t>vurdering af de nationale energi- og klimaplaner</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30F8BC55">
      <w:pPr>
        <w:jc w:val="center"/>
      </w:pPr>
      <w:r>
        <w:t>Det Europæiske Økonomiske og Sociale Udvalgs</w:t>
      </w:r>
      <w:r>
        <w:br/>
      </w:r>
      <w:r>
        <w:br/>
      </w:r>
      <w:r>
        <w:rPr>
          <w:b/>
          <w:sz w:val="28"/>
        </w:rPr>
        <w:t>UDTALELSE</w:t>
      </w:r>
      <w:r>
        <w:br/>
      </w:r>
      <w:r>
        <w:br/>
      </w:r>
      <w:r>
        <w:rPr>
          <w:b/>
        </w:rPr>
        <w:t>Rapport fra Kommissionen til Europa-Parlamentet, Rådet, Det Europæiske Økonomiske og Sociale Udvalg og Regionsudvalget – 2020-rapport om status over energiunionen i henhold til forordning (EU) 2018/1999 om forvaltning af energiunionen og klimaindsatsen</w:t>
      </w:r>
    </w:p>
    <w:p w:rsidR="00987A80" w:rsidP="00FE7A9F" w:rsidRDefault="00FE7A9F" w14:paraId="7F5985E8" w14:textId="61FE7B26">
      <w:pPr>
        <w:jc w:val="center"/>
      </w:pPr>
      <w:r>
        <w:t>og</w:t>
      </w:r>
      <w:r>
        <w:br/>
      </w:r>
      <w:r>
        <w:rPr>
          <w:b/>
        </w:rPr>
        <w:t>Meddelelse fra Kommissionen til Europa-Parlamentet, Rådet, Det Europæiske Økonomiske og Sociale Udvalg og Regionsudvalget – Vurdering af de nationale energi- og klimaplaner i hele EU – Fremme af den grønne omstilling og økonomisk genopretning gennem integreret energi- og klimaplanlægning</w:t>
      </w:r>
      <w:r>
        <w:rPr>
          <w:b/>
        </w:rPr>
        <w:br/>
      </w:r>
      <w:r>
        <w:t>[COM(2020) 950 final]</w:t>
      </w:r>
    </w:p>
    <w:p w:rsidRPr="00DC308B" w:rsidR="00646AC2" w:rsidP="00FE7A9F" w:rsidRDefault="00987A80" w14:paraId="5B3BE56F" w14:textId="27F86578">
      <w:pPr>
        <w:jc w:val="center"/>
      </w:pPr>
      <w:r>
        <w:t>[COM(2020) 564 final]</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Ordfører: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2561CA">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36EC7404">
            <w:pPr>
              <w:jc w:val="left"/>
            </w:pPr>
            <w:r>
              <w:lastRenderedPageBreak/>
              <w:t xml:space="preserve">Anmodning om udtalelse </w:t>
            </w:r>
          </w:p>
        </w:tc>
        <w:tc>
          <w:tcPr>
            <w:tcW w:w="4962" w:type="dxa"/>
          </w:tcPr>
          <w:p w:rsidRPr="00DC308B" w:rsidR="0011656A" w:rsidRDefault="00E271C6" w14:paraId="5B3BE5A5" w14:textId="57DECFAF">
            <w:pPr>
              <w:jc w:val="left"/>
            </w:pPr>
            <w:r>
              <w:t>Kommissionen, 11/11/2020 og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Retsgrundlag</w:t>
            </w:r>
          </w:p>
        </w:tc>
        <w:tc>
          <w:tcPr>
            <w:tcW w:w="4962" w:type="dxa"/>
          </w:tcPr>
          <w:p w:rsidRPr="00DC308B" w:rsidR="0016503F" w:rsidP="00DC308B" w:rsidRDefault="0016503F" w14:paraId="5B3BE5A8" w14:textId="3C895295">
            <w:r>
              <w:t>Artikel 304 i traktaten om Den Europæiske Unions funktionsmåde</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Kompetence</w:t>
            </w:r>
          </w:p>
        </w:tc>
        <w:tc>
          <w:tcPr>
            <w:tcW w:w="4962" w:type="dxa"/>
          </w:tcPr>
          <w:p w:rsidRPr="00DC308B" w:rsidR="00DF5B64" w:rsidP="00DC308B" w:rsidRDefault="004B717F" w14:paraId="5B3BE5C3" w14:textId="6AE91C48">
            <w:r>
              <w:t xml:space="preserve">Sektionen for Transport, Energi, Infrastruktur og Informationssamfundet </w:t>
            </w:r>
          </w:p>
        </w:tc>
      </w:tr>
      <w:tr w:rsidRPr="00DC308B" w:rsidR="00A156E6" w:rsidTr="006A16D7" w14:paraId="5B3BE5C7" w14:textId="77777777">
        <w:tc>
          <w:tcPr>
            <w:tcW w:w="4111" w:type="dxa"/>
          </w:tcPr>
          <w:p w:rsidRPr="00DC308B" w:rsidR="00A156E6" w:rsidP="00BC3F01" w:rsidRDefault="00A156E6" w14:paraId="5B3BE5C5" w14:textId="77777777">
            <w:pPr>
              <w:jc w:val="left"/>
            </w:pPr>
            <w:r>
              <w:t>Vedtaget i sektionen</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Vedtaget på plenarforsamlingen</w:t>
            </w:r>
          </w:p>
        </w:tc>
        <w:tc>
          <w:tcPr>
            <w:tcW w:w="4962" w:type="dxa"/>
          </w:tcPr>
          <w:p w:rsidRPr="00DC308B" w:rsidR="00A156E6" w:rsidP="00F93170" w:rsidRDefault="00DC311E" w14:paraId="5B3BE5C9" w14:textId="1D02175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Plenarforsamling nr.</w:t>
            </w:r>
          </w:p>
        </w:tc>
        <w:tc>
          <w:tcPr>
            <w:tcW w:w="4962" w:type="dxa"/>
          </w:tcPr>
          <w:p w:rsidRPr="00DC308B" w:rsidR="00BA1290" w:rsidP="00BC3F01" w:rsidRDefault="00313E47" w14:paraId="5B3BE5CC" w14:textId="7445F04B">
            <w:pPr>
              <w:jc w:val="left"/>
            </w:pPr>
            <w:r>
              <w:t>559</w:t>
            </w:r>
          </w:p>
        </w:tc>
      </w:tr>
      <w:tr w:rsidRPr="00DC308B" w:rsidR="00A156E6" w:rsidTr="006A16D7" w14:paraId="5B3BE5D0" w14:textId="77777777">
        <w:tc>
          <w:tcPr>
            <w:tcW w:w="4111" w:type="dxa"/>
          </w:tcPr>
          <w:p w:rsidRPr="00DC308B" w:rsidR="00D423D4" w:rsidP="00186E17" w:rsidRDefault="0043024C" w14:paraId="5B3BE5CE" w14:textId="375D0182">
            <w:pPr>
              <w:jc w:val="left"/>
            </w:pPr>
            <w:r>
              <w:t>Resultat af afstemningen</w:t>
            </w:r>
            <w:r>
              <w:br/>
              <w:t>(for/imod/hverken for eller imod)</w:t>
            </w:r>
          </w:p>
        </w:tc>
        <w:tc>
          <w:tcPr>
            <w:tcW w:w="4962" w:type="dxa"/>
            <w:vAlign w:val="bottom"/>
          </w:tcPr>
          <w:p w:rsidRPr="00DC308B" w:rsidR="00A156E6" w:rsidP="002524D5" w:rsidRDefault="00F93170" w14:paraId="5B3BE5CF" w14:textId="4AD1C055">
            <w:pPr>
              <w:jc w:val="left"/>
            </w:pPr>
            <w:r>
              <w:t>236/4/6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77777777">
      <w:pPr>
        <w:pStyle w:val="Heading1"/>
        <w:keepNext/>
        <w:rPr>
          <w:b/>
        </w:rPr>
      </w:pPr>
      <w:r>
        <w:rPr>
          <w:b/>
        </w:rPr>
        <w:lastRenderedPageBreak/>
        <w:t>Konklusioner og anbefalinger</w:t>
      </w:r>
    </w:p>
    <w:p w:rsidRPr="00DC308B" w:rsidR="00011D33" w:rsidP="00BC3F01" w:rsidRDefault="00011D33" w14:paraId="5B3BE5D4" w14:textId="77777777">
      <w:pPr>
        <w:keepNext/>
      </w:pPr>
    </w:p>
    <w:p w:rsidRPr="00DC308B" w:rsidR="00896899" w:rsidP="00896899" w:rsidRDefault="00896899" w14:paraId="048AE4BC" w14:textId="3B819771">
      <w:pPr>
        <w:pStyle w:val="Heading2"/>
      </w:pPr>
      <w:r>
        <w:t xml:space="preserve">Det Europæiske Økonomiske og Sociale Udvalg (EØSU) er imponeret over den omhu og præcision, som Kommissionen har lagt i dokumentationen og evalueringen af energiunionens udvikling. Den måde, som de nationale energi- og klimaplaner er blevet udarbejdet og vurderet på, viser, at forvaltningen af energiunionen fungerer. </w:t>
      </w:r>
    </w:p>
    <w:p w:rsidRPr="00DC308B" w:rsidR="00896899" w:rsidP="00896899" w:rsidRDefault="00896899" w14:paraId="5F75B2B9" w14:textId="77777777"/>
    <w:p w:rsidRPr="00DC308B" w:rsidR="00896899" w:rsidP="00896899" w:rsidRDefault="00896899" w14:paraId="4156466A" w14:textId="0B8171EA">
      <w:pPr>
        <w:pStyle w:val="Heading2"/>
      </w:pPr>
      <w:r>
        <w:t>EØSU noterer med lettelse, at energi- og klimamålene for 2020 i det store og hele er nået, selv om nogle medlemsstater klart halter bagefter. Dette må dog ikke føre til, at man stiller sig tilfreds med tingenes tilstand. Målene for de næste 30 år, begyndende med 2020'erne, er betydeligt mere ambitiøse. Omstillingstempoet skal øges betydeligt, uden at den sociale og økonomiske situation i de enkelte medlemsstater tabes af syne. Ellers vil den sociale accept af investeringer og reformer, der tager sigte på at fremskynde energiomstillingen, være i fare. Energiomstillingen bringes også i fare, hvis politikerne giver tilsagn om at inddrage store dele af samfundet, men i realiteten ikke tager dette løfte alvorligt og ikke lever op til det!</w:t>
      </w:r>
    </w:p>
    <w:p w:rsidRPr="00DC308B" w:rsidR="00896899" w:rsidP="00896899" w:rsidRDefault="00896899" w14:paraId="25D816DE" w14:textId="77777777"/>
    <w:p w:rsidRPr="00DC308B" w:rsidR="00896899" w:rsidP="00896899" w:rsidRDefault="00896899" w14:paraId="6DF20BA0" w14:textId="7CBCBB67">
      <w:pPr>
        <w:pStyle w:val="Heading2"/>
      </w:pPr>
      <w:r>
        <w:t>Så meget desto vigtigere er det ikke kun at se på de overordnede (klima-)mål, men også de specifikke mål, som Kommissionen satte for sig selv med rammestrategien for en modstandsdygtig energiunion og pakken om ren energi for alle europæere. Og her falder resultatet langt mere negativt ud.</w:t>
      </w:r>
    </w:p>
    <w:p w:rsidRPr="00DC308B" w:rsidR="00896899" w:rsidP="00896899" w:rsidRDefault="00896899" w14:paraId="79B4F62D" w14:textId="77777777"/>
    <w:p w:rsidRPr="00DC308B" w:rsidR="00896899" w:rsidP="00896899" w:rsidRDefault="00896899" w14:paraId="2E5522B2" w14:textId="2F4C4DAA">
      <w:pPr>
        <w:pStyle w:val="Heading2"/>
      </w:pPr>
      <w:r>
        <w:t>I rammestrategien talte Kommissionen om, at det vigtigste mål er, at borgerne skal stå i centrum for energiunionen. I sin meddelelse om status over energiunionen nævner Kommissionen ikke med et ord, hvordan det går med at nå dette mål, og hvilke strategier man vil forfølge i fremtiden for at nå målet. Dette er helt uacceptabelt for EØSU.</w:t>
      </w:r>
    </w:p>
    <w:p w:rsidRPr="00DC308B" w:rsidR="00896899" w:rsidP="00896899" w:rsidRDefault="00896899" w14:paraId="1320D45E" w14:textId="77777777"/>
    <w:p w:rsidRPr="00DC308B" w:rsidR="00896899" w:rsidP="00896899" w:rsidRDefault="00896899" w14:paraId="6D7FDB7C" w14:textId="20141ACE">
      <w:pPr>
        <w:pStyle w:val="Heading2"/>
      </w:pPr>
      <w:r>
        <w:t>I vurderingen af de nationale energi- og klimaplaner anfører Kommissionen, at udviklingen af borgerproduceret energi ikke får tilstrækkelig opmærksomhed i medlemsstaternes nationale energi- og klimaplaner. Dette er bekymrende. Det er skuffende, at Kommissionen ikke drager andre konklusioner af dette end at rette en meget generel appel til medlemsstaterne. Hvis ambitiøse mål som dem, der er formuleret i pakken om ren energi for alle europæere og i rammestrategien for energiunionen, ikke bliver forfulgt seriøst, er det ikke kun skadeligt for energiunionen. Det er også EU-politikkens troværdighed som helhed, der er på spil.</w:t>
      </w:r>
    </w:p>
    <w:p w:rsidRPr="00DC308B" w:rsidR="00896899" w:rsidP="00896899" w:rsidRDefault="00896899" w14:paraId="5D140CDF" w14:textId="77777777"/>
    <w:p w:rsidRPr="00DC308B" w:rsidR="00896899" w:rsidP="00896899" w:rsidRDefault="00896899" w14:paraId="653EA558" w14:textId="77777777">
      <w:pPr>
        <w:pStyle w:val="Heading2"/>
      </w:pPr>
      <w:r>
        <w:t>Derfor anser EØSU det for nødvendigt, at Kommissionen i kommende rapporter i højere grad undersøger graden og kvaliteten af gennemførelsen, overholdelsen og håndhævelsen af den tredje energipakke i medlemsstaterne, navnlig med hensyn til, hvordan de vil sætte "borgerne i centrum". Tidligere har gennemførelsen af bestemmelser på energiområdet trukket ud, og det har ofte ikke været til gavn for borgerne.</w:t>
      </w:r>
    </w:p>
    <w:p w:rsidRPr="00DC308B" w:rsidR="00896899" w:rsidP="00896899" w:rsidRDefault="00896899" w14:paraId="2F5A151C" w14:textId="77777777"/>
    <w:p w:rsidRPr="00DC308B" w:rsidR="00011D33" w:rsidP="00896899" w:rsidRDefault="00896899" w14:paraId="5B3BE5D5" w14:textId="36611608">
      <w:pPr>
        <w:pStyle w:val="Heading2"/>
      </w:pPr>
      <w:r>
        <w:t xml:space="preserve">Det er også på sin plads med et mere kritisk blik på tre andre mål i energiunionen, nemlig reduktion af energiafhængigheden gennem reduktion af energiimport, fjernelse af subsidier til klima- og miljøskadelige energikilder og indtagelse af en førende rolle inden for vedvarende energi, energieffektivitet og elektromobilitet. Som det fremgår af Kommissionens meddelelser, er ingen af disse tre mål nået. Man er imidlertid tavs med hensyn til årsagerne. Ligeledes søger </w:t>
      </w:r>
      <w:r>
        <w:lastRenderedPageBreak/>
        <w:t>man forgæves efter udsagn om, hvad man har lært af fejlene, og hvad dette betyder for de fremtidige foranstaltninger, f.eks. i forbindelse med Genopretningsfonden.</w:t>
      </w:r>
    </w:p>
    <w:p w:rsidRPr="00DC308B" w:rsidR="00896899" w:rsidP="0092523D" w:rsidRDefault="00896899" w14:paraId="7184AFC6" w14:textId="1CEB306D"/>
    <w:p w:rsidRPr="00DC308B" w:rsidR="000D6859" w:rsidP="00C146D8" w:rsidRDefault="000D6859" w14:paraId="05AD93C1" w14:textId="45970174">
      <w:pPr>
        <w:pStyle w:val="Heading2"/>
      </w:pPr>
      <w:r>
        <w:t>EØSU mener, at medlemsstaternes nationale energi- og klimaplaner viser, at der mangler sammenhæng i EU's energipolitik. EØSU mener også, at de fleste nationale energi- og klimaplaner er for upræcise, navnlig med hensyn til de vigtige spørgsmål om energisikkerhed og retfærdig omstilling (just transition).</w:t>
      </w:r>
    </w:p>
    <w:p w:rsidRPr="00DC308B" w:rsidR="000D6859" w:rsidP="0092523D" w:rsidRDefault="000D6859" w14:paraId="6478A707" w14:textId="77777777"/>
    <w:p w:rsidRPr="00DC308B" w:rsidR="00896899" w:rsidP="00DC308B" w:rsidRDefault="00896899" w14:paraId="46D924C6" w14:textId="25A0851C">
      <w:pPr>
        <w:pStyle w:val="Heading2"/>
        <w:keepNext/>
      </w:pPr>
      <w:r>
        <w:t>EØSU opfordrer derfor Kommissionen til, at den ved vurderingen af de nationale energi- og klimaplaner er mere opmærksom på, om strategierne egner sig til at opfylde målet om retfærdig omstilling. Den bør navnlig evaluere opfyldelsen af følgende mål:</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lettelse af jobskift,</w:t>
      </w:r>
    </w:p>
    <w:p w:rsidRPr="00DC308B" w:rsidR="00896899" w:rsidP="0092523D" w:rsidRDefault="00896899" w14:paraId="277E64A0" w14:textId="00BF0C79">
      <w:pPr>
        <w:pStyle w:val="CommentText"/>
        <w:numPr>
          <w:ilvl w:val="0"/>
          <w:numId w:val="45"/>
        </w:numPr>
        <w:tabs>
          <w:tab w:val="clear" w:pos="0"/>
        </w:tabs>
        <w:spacing w:line="288" w:lineRule="auto"/>
        <w:ind w:left="850"/>
      </w:pPr>
      <w:r>
        <w:rPr>
          <w:sz w:val="22"/>
          <w:szCs w:val="22"/>
        </w:rPr>
        <w:t>støtte til arbejdstagere, som mister deres arbejdsplads på grund af dekarboniseringen (en tabt arbejdsplads bør som minimum erstattes af en anden, ligeværdig arbejdsplads),</w:t>
      </w:r>
    </w:p>
    <w:p w:rsidRPr="00DC308B" w:rsidR="00896899" w:rsidP="0092523D" w:rsidRDefault="00896899" w14:paraId="36E7239E" w14:textId="3C4E2705">
      <w:pPr>
        <w:pStyle w:val="CommentText"/>
        <w:numPr>
          <w:ilvl w:val="0"/>
          <w:numId w:val="45"/>
        </w:numPr>
        <w:tabs>
          <w:tab w:val="clear" w:pos="0"/>
        </w:tabs>
        <w:spacing w:line="288" w:lineRule="auto"/>
        <w:ind w:left="850"/>
        <w:rPr>
          <w:sz w:val="22"/>
          <w:szCs w:val="22"/>
        </w:rPr>
      </w:pPr>
      <w:r>
        <w:rPr>
          <w:sz w:val="22"/>
          <w:szCs w:val="22"/>
        </w:rPr>
        <w:t>bekæmpelse af energifattigdom samt udligning af degressive fordelingsvirkninger og</w:t>
      </w:r>
    </w:p>
    <w:p w:rsidRPr="00DC308B" w:rsidR="00E6375E" w:rsidP="0092523D" w:rsidRDefault="00E6375E" w14:paraId="4776540A" w14:textId="1D3BB2FA">
      <w:pPr>
        <w:pStyle w:val="CommentText"/>
        <w:numPr>
          <w:ilvl w:val="0"/>
          <w:numId w:val="45"/>
        </w:numPr>
        <w:tabs>
          <w:tab w:val="clear" w:pos="0"/>
        </w:tabs>
        <w:spacing w:line="288" w:lineRule="auto"/>
        <w:ind w:left="850"/>
        <w:rPr>
          <w:sz w:val="22"/>
          <w:szCs w:val="22"/>
        </w:rPr>
      </w:pPr>
      <w:r>
        <w:rPr>
          <w:sz w:val="22"/>
          <w:szCs w:val="22"/>
        </w:rPr>
        <w:t>udnyttelse af det regionale økonomiske potentiale, som bygger på vedvarende energikilder og nye former for deltagelse i elektricitetsproduktionen.</w:t>
      </w:r>
    </w:p>
    <w:p w:rsidRPr="00DC308B" w:rsidR="00011D33" w:rsidP="00F20CA6" w:rsidRDefault="00011D33" w14:paraId="5B3BE5DA" w14:textId="164DDCB1"/>
    <w:p w:rsidRPr="00DC308B" w:rsidR="00011D33" w:rsidP="00BC3F01" w:rsidRDefault="00011D33" w14:paraId="5B3BE5DB" w14:textId="74F84A54">
      <w:pPr>
        <w:pStyle w:val="Heading1"/>
        <w:keepNext/>
        <w:rPr>
          <w:b/>
        </w:rPr>
      </w:pPr>
      <w:r>
        <w:rPr>
          <w:b/>
        </w:rPr>
        <w:t>Generelle bemærkninger til Kommissionens dokumenter</w:t>
      </w:r>
    </w:p>
    <w:p w:rsidRPr="00DC308B" w:rsidR="00011D33" w:rsidP="00BC3F01" w:rsidRDefault="00011D33" w14:paraId="5B3BE5DC" w14:textId="77777777">
      <w:pPr>
        <w:keepNext/>
      </w:pPr>
    </w:p>
    <w:p w:rsidRPr="00DC308B" w:rsidR="00DF21DA" w:rsidP="00DC308B" w:rsidRDefault="00DF21DA" w14:paraId="04751B43" w14:textId="7C80BDB7">
      <w:pPr>
        <w:pStyle w:val="Heading2"/>
        <w:keepNext/>
      </w:pPr>
      <w:r>
        <w:t>Den 25. februar 2015 fremlagde Kommissionen sin meddelelse om en rammestrategi for en modstandsdygtig energiunion med en fremadskuende klimapolitik</w:t>
      </w:r>
      <w:r w:rsidRPr="00E87D0D">
        <w:rPr>
          <w:sz w:val="24"/>
          <w:szCs w:val="24"/>
          <w:vertAlign w:val="superscript"/>
        </w:rPr>
        <w:footnoteReference w:id="1"/>
      </w:r>
      <w:r>
        <w:t xml:space="preserve">. Strategien kom ind på følgende mål: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energisikkerhed, bl.a. gennem reduktion af afhængigheden af energiimport,</w:t>
      </w:r>
    </w:p>
    <w:p w:rsidRPr="00DC308B" w:rsidR="00DF21DA" w:rsidP="00646DA7" w:rsidRDefault="00DF21DA" w14:paraId="1A7661D5" w14:textId="369773CF">
      <w:pPr>
        <w:pStyle w:val="Heading2"/>
        <w:numPr>
          <w:ilvl w:val="0"/>
          <w:numId w:val="42"/>
        </w:numPr>
        <w:ind w:left="927"/>
      </w:pPr>
      <w:r>
        <w:t>et fuldt integreret europæisk energimarked,</w:t>
      </w:r>
    </w:p>
    <w:p w:rsidRPr="00DC308B" w:rsidR="00DF21DA" w:rsidP="00646DA7" w:rsidRDefault="00DF21DA" w14:paraId="4A93F03C" w14:textId="77777777">
      <w:pPr>
        <w:pStyle w:val="Heading2"/>
        <w:numPr>
          <w:ilvl w:val="0"/>
          <w:numId w:val="42"/>
        </w:numPr>
        <w:ind w:left="927"/>
      </w:pPr>
      <w:r>
        <w:t xml:space="preserve">en bæredygtig og klimavenlig lavemissionsøkonomi, </w:t>
      </w:r>
    </w:p>
    <w:p w:rsidRPr="00DC308B" w:rsidR="00DF21DA" w:rsidP="00646DA7" w:rsidRDefault="00DF21DA" w14:paraId="28740F0E" w14:textId="38817C2B">
      <w:pPr>
        <w:pStyle w:val="Heading2"/>
        <w:numPr>
          <w:ilvl w:val="0"/>
          <w:numId w:val="42"/>
        </w:numPr>
        <w:ind w:left="927"/>
      </w:pPr>
      <w:r>
        <w:t>forskning, innovation og konkurrenceevne, så Europa kan indtage en global førerrolle inden for vedvarende energi,</w:t>
      </w:r>
    </w:p>
    <w:p w:rsidRPr="00DC308B" w:rsidR="00DF21DA" w:rsidP="00646DA7" w:rsidRDefault="00DF21DA" w14:paraId="07725D16" w14:textId="1E57AFBF">
      <w:pPr>
        <w:pStyle w:val="Heading2"/>
        <w:numPr>
          <w:ilvl w:val="0"/>
          <w:numId w:val="42"/>
        </w:numPr>
        <w:ind w:left="927"/>
      </w:pPr>
      <w:r>
        <w:t>uddannelse af de europæiske arbejdstagere, så de kan indgå i fremtidens energisystem,</w:t>
      </w:r>
    </w:p>
    <w:p w:rsidRPr="00DC308B" w:rsidR="00345823" w:rsidP="00646DA7" w:rsidRDefault="00DF21DA" w14:paraId="08497E97" w14:textId="4969D608">
      <w:pPr>
        <w:pStyle w:val="Heading2"/>
        <w:numPr>
          <w:ilvl w:val="0"/>
          <w:numId w:val="42"/>
        </w:numPr>
        <w:ind w:left="927"/>
      </w:pPr>
      <w:r>
        <w:t>opbygning af investorernes tillid via prissignaler, som afspejler behovene på lang sigt og politiske målsætninger.</w:t>
      </w:r>
    </w:p>
    <w:p w:rsidRPr="00DC308B" w:rsidR="00345823" w:rsidP="006A16D7" w:rsidRDefault="00345823" w14:paraId="068A23B3" w14:textId="4A2F5AAF">
      <w:pPr>
        <w:ind w:left="567" w:hanging="567"/>
      </w:pPr>
    </w:p>
    <w:p w:rsidRPr="00DC308B" w:rsidR="00DF21DA" w:rsidP="00DF21DA" w:rsidRDefault="00DF21DA" w14:paraId="15B6DB12" w14:textId="7907DF24">
      <w:pPr>
        <w:pStyle w:val="Heading2"/>
      </w:pPr>
      <w:r>
        <w:t>Kommissionen anførte på daværende tidspunkt, at vigtigst af alt er visionen om en energiunion, "hvor borgerne er i centrum, og hvor de tager ejerskab af energiomstillingen, drager fordel af nye teknologier, der gør deres regninger mindre, og deltager aktivt på markedet, alt imens de sårbare forbrugere beskyttes". Desuden fremhævede Kommissionen inddragelse af interessenterne i udformningen af energiunionen som en prioritet og en socialt retfærdig overgang som et grundlæggende princip for energiomstillingen.</w:t>
      </w:r>
    </w:p>
    <w:p w:rsidRPr="00DC308B" w:rsidR="00DF21DA" w:rsidP="00DF21DA" w:rsidRDefault="00DF21DA" w14:paraId="5B16D218" w14:textId="4D5BD312"/>
    <w:p w:rsidRPr="00DC308B" w:rsidR="00DF21DA" w:rsidP="005F783F" w:rsidRDefault="00DF21DA" w14:paraId="56BD3DDE" w14:textId="2D33C6F4">
      <w:pPr>
        <w:pStyle w:val="Heading2"/>
        <w:keepLines/>
      </w:pPr>
      <w:r>
        <w:lastRenderedPageBreak/>
        <w:t>Kommissionen fremhævede også behovet for integreret forvaltning og overvågning af energiunionen. Med forvaltningsforordningen (EU) 2018/1999 fik EU et retsgrundlag for dette. På grundlag af denne forordning er medlemsstaterne forpligtet til regelmæssigt at fremlægge nationale energi- og klimaplaner, hvor de også skal beskrive deres bidrag til at opfylde målene for energiunionen.</w:t>
      </w:r>
    </w:p>
    <w:p w:rsidRPr="00DC308B" w:rsidR="00DF21DA" w:rsidP="00DF21DA" w:rsidRDefault="00DF21DA" w14:paraId="79E74D5B" w14:textId="3AE94FE3"/>
    <w:p w:rsidRPr="00DC308B" w:rsidR="00DF21DA" w:rsidP="00DC308B" w:rsidRDefault="00DF21DA" w14:paraId="67165668" w14:textId="32DA7C3F">
      <w:pPr>
        <w:pStyle w:val="Heading2"/>
        <w:keepNext/>
      </w:pPr>
      <w:r>
        <w:t>I sin 2020-rapport om status over energiunionen henviser Kommissionen nu til fremskridtene og samler dem under fem overskrifter:</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Dekarbonisering (herunder udbygning af vedvarende energi)</w:t>
      </w:r>
    </w:p>
    <w:p w:rsidRPr="00DC308B" w:rsidR="00DF21DA" w:rsidP="00DC308B" w:rsidRDefault="00DF21DA" w14:paraId="23472811" w14:textId="33F90B19">
      <w:pPr>
        <w:numPr>
          <w:ilvl w:val="0"/>
          <w:numId w:val="43"/>
        </w:numPr>
        <w:ind w:left="936" w:hanging="369"/>
      </w:pPr>
      <w:r>
        <w:t>Energieffektivitet med særlig vægt på princippet om "energieffektivitet først"</w:t>
      </w:r>
    </w:p>
    <w:p w:rsidRPr="00DC308B" w:rsidR="00DF21DA" w:rsidP="00DC308B" w:rsidRDefault="00DF21DA" w14:paraId="7BD8DFDA" w14:textId="1148932F">
      <w:pPr>
        <w:numPr>
          <w:ilvl w:val="0"/>
          <w:numId w:val="43"/>
        </w:numPr>
        <w:ind w:left="936" w:hanging="369"/>
      </w:pPr>
      <w:r>
        <w:t xml:space="preserve">Energisikkerhed (herunder reduktion af energiimporten i EU, øget fleksibilitet og større resiliens i de nationale energisystemer) </w:t>
      </w:r>
    </w:p>
    <w:p w:rsidRPr="00DC308B" w:rsidR="00DF21DA" w:rsidP="00DC308B" w:rsidRDefault="00DF21DA" w14:paraId="4A109991" w14:textId="3240ECB1">
      <w:pPr>
        <w:numPr>
          <w:ilvl w:val="0"/>
          <w:numId w:val="43"/>
        </w:numPr>
        <w:ind w:left="936" w:hanging="369"/>
      </w:pPr>
      <w:r>
        <w:t>Det indre marked for energi</w:t>
      </w:r>
    </w:p>
    <w:p w:rsidRPr="00DC308B" w:rsidR="00DF21DA" w:rsidP="00DC308B" w:rsidRDefault="00DF21DA" w14:paraId="79E034C0" w14:textId="70A87CB7">
      <w:pPr>
        <w:numPr>
          <w:ilvl w:val="0"/>
          <w:numId w:val="43"/>
        </w:numPr>
        <w:ind w:left="936" w:hanging="369"/>
      </w:pPr>
      <w:r>
        <w:t>Forskning og innovation samt konkurrenceevne</w:t>
      </w:r>
    </w:p>
    <w:p w:rsidRPr="00DC308B" w:rsidR="00DF21DA" w:rsidP="00DC308B" w:rsidRDefault="00DF21DA" w14:paraId="2954AB3A" w14:textId="0AC57EE8">
      <w:pPr>
        <w:ind w:left="567"/>
      </w:pPr>
    </w:p>
    <w:p w:rsidRPr="00DC308B" w:rsidR="00DF21DA" w:rsidP="00DC308B" w:rsidRDefault="00093F6C" w14:paraId="3039A51D" w14:textId="36645A0E">
      <w:pPr>
        <w:pStyle w:val="Heading2"/>
        <w:numPr>
          <w:ilvl w:val="0"/>
          <w:numId w:val="0"/>
        </w:numPr>
        <w:ind w:left="567"/>
      </w:pPr>
      <w:r>
        <w:t>Den kommer desuden ind på emnet "Energiunionen i et bredere grøn pagt-perspektiv".</w:t>
      </w:r>
    </w:p>
    <w:p w:rsidRPr="00DC308B" w:rsidR="00DF21DA" w:rsidP="00DC308B" w:rsidRDefault="00DF21DA" w14:paraId="2E802998" w14:textId="77777777">
      <w:pPr>
        <w:ind w:firstLine="567"/>
      </w:pPr>
    </w:p>
    <w:p w:rsidRPr="00DC308B" w:rsidR="00DF21DA" w:rsidP="00DF21DA" w:rsidRDefault="00DF21DA" w14:paraId="05C880D1" w14:textId="021FA506">
      <w:pPr>
        <w:pStyle w:val="Heading2"/>
      </w:pPr>
      <w:r>
        <w:t xml:space="preserve">På den baggrund fremsætter fremlægger Kommissionen ideer under overskriften "Stræben efter grøn genopretning og en bæredygtig økonomi" og undersøger som det første de eksisterende strategier for integration af energisystemet og udviklingen af brint i Europa.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2CBDD009">
      <w:pPr>
        <w:pStyle w:val="Heading2"/>
      </w:pPr>
      <w:r>
        <w:t>Kommissionen begrunder desuden nødvendigheden af at hæve reduktionsmålet for CO</w:t>
      </w:r>
      <w:r>
        <w:rPr>
          <w:vertAlign w:val="subscript"/>
        </w:rPr>
        <w:t>2</w:t>
      </w:r>
      <w:r w:rsidR="00E87D0D">
        <w:noBreakHyphen/>
      </w:r>
      <w:r>
        <w:t xml:space="preserve">emissioner til mindst 55 % i forhold til 1990 og annoncerer en strategi for reduktion af metanemissioner samt en "vision for offshore-energi". I den forbindelse kritiserer den, at de strategier, som medlemsstaterne har fremlagt i forbindelse med deres nationale energi- og klimaplaner, ofte er uklare og ikke konkrete nok. </w:t>
      </w:r>
    </w:p>
    <w:p w:rsidRPr="00DC308B" w:rsidR="00DF21DA" w:rsidP="00DF21DA" w:rsidRDefault="00DF21DA" w14:paraId="6752A3C6" w14:textId="77777777"/>
    <w:p w:rsidRPr="00DC308B" w:rsidR="00DF21DA" w:rsidP="00DF21DA" w:rsidRDefault="00DF21DA" w14:paraId="6861C5FC" w14:textId="41E6A243">
      <w:pPr>
        <w:pStyle w:val="Heading2"/>
        <w:rPr>
          <w:noProof/>
        </w:rPr>
      </w:pPr>
      <w:r>
        <w:t xml:space="preserve">Samlet set betegner Kommissionen situationen som endnu ikke tilfredsstillende, selv om det fastholdes, at man i hele EU er godt på vej til at nå 2020-målene for vedvarende energi. Nogle medlemsstater er nødt til "at gøre større fremskridt".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3839AFE9">
      <w:pPr>
        <w:pStyle w:val="Heading2"/>
        <w:rPr>
          <w:noProof/>
        </w:rPr>
      </w:pPr>
      <w:r>
        <w:t xml:space="preserve">Den tilskynder til, at der gøres en større indsats på området for energieffektivitet, og især inden for bygningsrenovering konstateres der store mangler.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81E5F81">
      <w:pPr>
        <w:pStyle w:val="Heading2"/>
        <w:rPr>
          <w:noProof/>
        </w:rPr>
      </w:pPr>
      <w:r>
        <w:t>Rapporten er for første gang ledsaget af en udførlig analyse af energisubsidier</w:t>
      </w:r>
      <w:r w:rsidRPr="00E87D0D" w:rsidR="00CA11FD">
        <w:rPr>
          <w:sz w:val="24"/>
          <w:szCs w:val="24"/>
          <w:vertAlign w:val="superscript"/>
        </w:rPr>
        <w:footnoteReference w:id="2"/>
      </w:r>
      <w:r>
        <w:t>, hvori det entydigt konstateres, at der a) stadig er behov for bedre data om energisubsidier</w:t>
      </w:r>
      <w:r w:rsidRPr="00E87D0D">
        <w:rPr>
          <w:sz w:val="24"/>
          <w:szCs w:val="24"/>
          <w:vertAlign w:val="superscript"/>
        </w:rPr>
        <w:footnoteReference w:id="3"/>
      </w:r>
      <w:r>
        <w:t>, og b) er et "tydeligt behov for at styrke indsatsen" for at reducere subsidier til fossile brændstoffer. De retlige instrumenter, der i dag findes på EU-niveau, betegnes som utilstrækkelige.</w:t>
      </w:r>
    </w:p>
    <w:p w:rsidRPr="00DC308B" w:rsidR="00DF21DA" w:rsidP="00DF21DA" w:rsidRDefault="00DF21DA" w14:paraId="628088E0" w14:textId="77777777">
      <w:pPr>
        <w:pStyle w:val="Heading2"/>
        <w:numPr>
          <w:ilvl w:val="0"/>
          <w:numId w:val="0"/>
        </w:numPr>
        <w:rPr>
          <w:noProof/>
        </w:rPr>
      </w:pPr>
    </w:p>
    <w:p w:rsidRPr="00DC308B" w:rsidR="00DF21DA" w:rsidP="005F783F" w:rsidRDefault="00DF21DA" w14:paraId="780FDA7B" w14:textId="604293E1">
      <w:pPr>
        <w:pStyle w:val="Heading2"/>
        <w:keepLines/>
        <w:rPr>
          <w:noProof/>
        </w:rPr>
      </w:pPr>
      <w:r>
        <w:lastRenderedPageBreak/>
        <w:t>Det betegnes desuden som "ikke opmuntrende", at der i de seneste år er blevet investeret stadig færre FoU-midler i denne sektor i EU-27, og at Europa i forhold til andre økonomiske regioner er kommet alvorligt bagud på dette felt. Kommissionen annoncerer tiltag, f.eks. inden for batterier og brint, for at sætte skub i forskning og innovation og modvirke de faldende investeringer, der er konstateret på nationalt plan.</w:t>
      </w:r>
    </w:p>
    <w:p w:rsidRPr="00DC308B" w:rsidR="00DF21DA" w:rsidP="00DF21DA" w:rsidRDefault="00DF21DA" w14:paraId="133D8A1C" w14:textId="77777777"/>
    <w:p w:rsidRPr="00DC308B" w:rsidR="00DF21DA" w:rsidP="00DF21DA" w:rsidRDefault="00DF21DA" w14:paraId="3AE81D87" w14:textId="40A4F1D9">
      <w:pPr>
        <w:pStyle w:val="Heading2"/>
      </w:pPr>
      <w:r>
        <w:t>Det konstateres, at udgifterne til energiimport i de seneste år igen er steget (til</w:t>
      </w:r>
      <w:r w:rsidR="00E87D0D">
        <w:t> </w:t>
      </w:r>
      <w:r>
        <w:t>over 330 mia. EUR årligt), og at den tidligere nedadgående tendens dermed er vendt.</w:t>
      </w:r>
    </w:p>
    <w:p w:rsidRPr="00DC308B" w:rsidR="00DF21DA" w:rsidP="00DF21DA" w:rsidRDefault="00DF21DA" w14:paraId="75C19736" w14:textId="77777777"/>
    <w:p w:rsidRPr="00DC308B" w:rsidR="00DF21DA" w:rsidP="00DF21DA" w:rsidRDefault="00DF21DA" w14:paraId="1ED2E449" w14:textId="6723145F">
      <w:pPr>
        <w:pStyle w:val="Heading2"/>
      </w:pPr>
      <w:r>
        <w:t>Kommissionen afslutter sin rapport med at bekræfte, at Europa i forbindelse med genopretningen efter covid-19 står over for en enestående mulighed for at foretage investeringer, der kan støtte genopretningen af EU's økonomi og samtidig fremskynde den grønne og digitale omstilling.</w:t>
      </w:r>
    </w:p>
    <w:p w:rsidRPr="00DC308B" w:rsidR="00DF21DA" w:rsidP="00DF21DA" w:rsidRDefault="00DF21DA" w14:paraId="1B8C8D21" w14:textId="77777777"/>
    <w:p w:rsidRPr="00DC308B" w:rsidR="00DF21DA" w:rsidP="00DF21DA" w:rsidRDefault="00DF21DA" w14:paraId="23AA7E46" w14:textId="1906A37E">
      <w:pPr>
        <w:pStyle w:val="Heading2"/>
      </w:pPr>
      <w:r>
        <w:t>I sin meddelelse om vurdering af de nationale energi- og klimaplaner i hele EU når Kommissionen til en positiv konklusion, eftersom fremskridtene inden for reduktion af drivhusgasser og vedvarende energi gjorde det muligt at hæve 2030-målene på disse områder markant allerede i 2021. På den anden side anerkender Kommissionen, at der er behov for massive forbedringer inden for energieffektivitet, investeringer i forskning samt innovationer. For at afhjælpe manglerne på disse områder er det nødvendigt, at medlemsstaterne tager højde for de nye finansieringsmuligheder i forbindelse med den flerårige finansielle ramme og genopretnings- og resiliensfaciliteten.</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Generelle bemærkninger fra EØSU</w:t>
      </w:r>
    </w:p>
    <w:p w:rsidRPr="00DC308B" w:rsidR="00392EF1" w:rsidP="00646DA7" w:rsidRDefault="00392EF1" w14:paraId="1D990847" w14:textId="5BF34F3C">
      <w:pPr>
        <w:keepNext/>
        <w:keepLines/>
      </w:pPr>
    </w:p>
    <w:p w:rsidRPr="00DC308B" w:rsidR="00392EF1" w:rsidP="00392EF1" w:rsidRDefault="00392EF1" w14:paraId="5E53DA7F" w14:textId="4CA5B428">
      <w:pPr>
        <w:pStyle w:val="Heading2"/>
      </w:pPr>
      <w:r>
        <w:t xml:space="preserve">Indledningsvis skal Kommissionen have stor ros: Den omhu, den lægger i forvaltningen af energiunionen, og som kommer til udtryk i de omfangsrige dokumenter (inklusive bilag), vidner om stor seriøsitet. Dette er også ubetinget på sin plads, da de hidtidige mål for klimabeskyttelsen, som skal skærpes, kun lige netop er nået – hvis overhovedet. Målet om at gøre EU klimaneutralt senest i 2050 er af epokegørende betydning og kræver en historisk enestående strategisk planlægning og koordinering af meget forskellige politikker, som skal være langt mere vidtrækkende end det, der hidtil er blevet besluttet.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2EC75625">
      <w:pPr>
        <w:pStyle w:val="Heading2"/>
        <w:rPr>
          <w:noProof/>
        </w:rPr>
      </w:pPr>
      <w:r>
        <w:t>På den baggrund er EØSU helt enig med Kommissionen i, at det er nødvendigt, at medlemsstaterne udvikler tydeligere strategier og gennemfører disse hurtigst muligt. I den forbindelse skal der i højere grad tages hensyn til de sociale, beskæftigelsesmæssige og kvalifikationsmæssige konsekvenser og andre fordelingsrelaterede virkninger af energiomstillingen, og det skal fremgå, hvordan disse udfordringer skal tackles.</w:t>
      </w:r>
    </w:p>
    <w:p w:rsidRPr="00DC308B" w:rsidR="00392EF1" w:rsidP="00392EF1" w:rsidRDefault="00392EF1" w14:paraId="22E8AA09" w14:textId="77777777"/>
    <w:p w:rsidRPr="00DC308B" w:rsidR="00392EF1" w:rsidP="00392EF1" w:rsidRDefault="00392EF1" w14:paraId="52CFCFF1" w14:textId="390FF1FD">
      <w:pPr>
        <w:pStyle w:val="Heading2"/>
      </w:pPr>
      <w:r>
        <w:t>Langt størstedelen af Kommissionens konklusioner er logiske og bør støttes. Dette gælder navnlig for konstateringen af, at fremskridtene med hensyn til at nå målene for reduktion af drivhusgasemissionerne, øget energieffektivitet og udbygning af vedvarende energiformer udgør et springbræt for endnu højere mål.</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77E89CF7">
      <w:pPr>
        <w:pStyle w:val="Heading2"/>
      </w:pPr>
      <w:r>
        <w:t>EØSU er også enig med Kommissionen i, at der er behov for ny fremdrift. Det ville dog være hensigtsmæssigt, hvis Kommissionen konkretiserer, hvori denne nye fremdrift skal bestå.</w:t>
      </w:r>
    </w:p>
    <w:p w:rsidRPr="00DC308B" w:rsidR="00392EF1" w:rsidP="00392EF1" w:rsidRDefault="00392EF1" w14:paraId="5DF38093" w14:textId="77777777"/>
    <w:p w:rsidRPr="00DC308B" w:rsidR="00392EF1" w:rsidP="00392EF1" w:rsidRDefault="00392EF1" w14:paraId="61986789" w14:textId="0BFCD9DD">
      <w:pPr>
        <w:pStyle w:val="Heading2"/>
      </w:pPr>
      <w:r>
        <w:t>Det forekommer endvidere logisk, at Kommissionen knytter udviklingen af energiunionen sammen med den europæiske grønne pagt og genopretningspolitikken efter pandemien, idet begge dele er tiltag, som ikke kunne forudses, da den strategiske ramme for energiunionen og forvaltningsforordningen blev udviklet. EØSU understreger, at den europæiske energiunion udgør et ideelt handlingsgrundlag for den grønne pagt. Det ville derfor have været så meget desto vigtigere, at man i den nuværende vurdering mere præcist havde peget på de konstaterede mangler og udviklet modstrategier. Dette er ikke sket i mindst tre tilfælde, som behandles nærmere i det følgende.</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Manglende gennemførelse af målsætningen om "borgerne i centrum for energiunionen"</w:t>
      </w:r>
    </w:p>
    <w:p w:rsidRPr="00DC308B" w:rsidR="00392EF1" w:rsidP="00646DA7" w:rsidRDefault="00392EF1" w14:paraId="60624F4F" w14:textId="77777777">
      <w:pPr>
        <w:keepNext/>
        <w:keepLines/>
      </w:pPr>
    </w:p>
    <w:p w:rsidRPr="00DC308B" w:rsidR="00392EF1" w:rsidP="008A5FF3" w:rsidRDefault="00392EF1" w14:paraId="3689779F" w14:textId="213C9B49">
      <w:pPr>
        <w:pStyle w:val="Heading2"/>
      </w:pPr>
      <w:r>
        <w:t xml:space="preserve">Som citeret i punkt 2.2 betegnede Kommissionen i den strategiske ramme for energiunionen en politik, hvor borgerne er i centrum, og hvor de tager et medansvar for energiomstillingen, som det </w:t>
      </w:r>
      <w:r>
        <w:rPr>
          <w:i/>
          <w:iCs/>
        </w:rPr>
        <w:t>vigtigste mål</w:t>
      </w:r>
      <w:r>
        <w:t xml:space="preserve"> (!). Derfor bør dette mål også få en særlig plads i rapporten om status over energiunionen, navnlig gennem konkrete forslag til, hvordan borgerne, arbejdsmarkedets parter og interessenter kan inddrages på gennemsigtig og aktiv vis i beslutningsprocesserne, f.eks. de nationale energi- og klimaplaner, og aktivt tage et medansvar for og deltage i aktiviteter på markedet. Aspektet inddragelse bliver imidlertid slet ikke nævnt i rapporten, og der mangler også en vurdering af, om de foreslåede foranstaltninger eksplicit tjener dette mål.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2D1DF83E">
      <w:pPr>
        <w:pStyle w:val="Heading2"/>
      </w:pPr>
      <w:r>
        <w:t>I øjeblikket viser problemet sig også i bl.a. Kommissionens strategi for integration af energisystemet, hvor borgerne kun optræder som forbrugere, og ikke som aktive markedsaktører. Også i forbindelse med de centrale prioriteter, som Kommissionen</w:t>
      </w:r>
      <w:r w:rsidRPr="00E87D0D">
        <w:rPr>
          <w:color w:val="000000" w:themeColor="text1"/>
          <w:sz w:val="24"/>
          <w:szCs w:val="24"/>
          <w:vertAlign w:val="superscript"/>
        </w:rPr>
        <w:footnoteReference w:id="4"/>
      </w:r>
      <w:r>
        <w:t xml:space="preserve"> beskriver, nemlig brintstrategien samt den annoncerede "vision for offshore-energi", er det vanskeligt at forestille sig, at borgernes deltagelse overhovedet er mulig eller tiltænkt. Derfor er det yderst kritisabelt, at Kommissionen i meddelelsen om vurdering af de nationale energi- og klimaplaner skriver, at den især vil anvende EU‑finansieringsmekanismen for vedvarende energi til at fremme offshoreteknologier.</w:t>
      </w:r>
    </w:p>
    <w:p w:rsidRPr="00DC308B" w:rsidR="00392EF1" w:rsidP="00392EF1" w:rsidRDefault="00392EF1" w14:paraId="3341F3A3" w14:textId="77777777"/>
    <w:p w:rsidRPr="00DC308B" w:rsidR="00392EF1" w:rsidP="008A5FF3" w:rsidRDefault="00392EF1" w14:paraId="042C8F42" w14:textId="35CC9257">
      <w:pPr>
        <w:pStyle w:val="Heading2"/>
      </w:pPr>
      <w:r>
        <w:t>Kommissionen ignorerer dermed gældende EU-ret, eftersom det i betragtning 43 til direktivet om det indre marked for elektricitet (EU) 2019/944 anføres, at "energifællesskaber [er] blevet et virkningsfuldt og omkostningseffektivt middel til at opfylde borgernes behov og forventninger [...]. [...] Ved direkte at inddrage forbrugerne viser energifællesskabsinitiativer deres potentiale for at fremme brugen af ny teknologi og nye forbrugsmønstre, herunder intelligente net og fleksibelt elforbrug, på en integreret måde. Energifællesskaber kan også fremme energieffektiviteten på husstandsniveau og bidrage til at bekæmpe energifattigdom ved at reducere forbruget og sikre lavere energitariffer. [...] Vellykkede initiativer af denne art har skabt økonomiske, sociale og miljømæssige fordele for lokalsamfundet." Energifællesskaber kan altså efter EU-lovgivernes opfattelse afhjælpe adskillige af de misforhold, som Kommissionen beklager i dokumenterne. Desto mere uforståeligt er det, at Kommissionen ikke fremhæver dette i sine egne dokumenter. Der er et eklatant misforhold mellem ambition og virkelighed, og EØSU kan stadig ikke se nogen klar strategi fra Kommissionens side, når det handler om at gøre borgerne til aktive partnere.</w:t>
      </w:r>
    </w:p>
    <w:p w:rsidRPr="00DC308B" w:rsidR="00392EF1" w:rsidP="00392EF1" w:rsidRDefault="00392EF1" w14:paraId="3C807EB0" w14:textId="77777777"/>
    <w:p w:rsidRPr="00DC308B" w:rsidR="00392EF1" w:rsidP="008A5FF3" w:rsidRDefault="00392EF1" w14:paraId="28890A1E" w14:textId="49B370FB">
      <w:pPr>
        <w:pStyle w:val="Heading2"/>
      </w:pPr>
      <w:r>
        <w:t xml:space="preserve">Denne kritik kan imidlertid også rettes mod de fleste medlemsstater. Medlemsstaterne skal på grundlag af artikel 20 i forvaltningsforordningen, (EU) 2018/1999, behandle energifællesskaber i deres nationale energi- og klimaplaner. Kommissionen fremhæver i sin vurdering, at medlemsstaterne ikke eller kun i utilstrækkeligt omfang lever op til dette krav. EØSU opfordrer Kommissionen til at foreslå mere konkrete regler til fremme af energifællesskaber i forbindelse med den forestående revision af direktivet om vedvarende energi.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Manglende gennemførelse af målene om forsyningssikkerhed og reduceret energiimport</w:t>
      </w:r>
    </w:p>
    <w:p w:rsidRPr="00DC308B" w:rsidR="00392EF1" w:rsidP="00646DA7" w:rsidRDefault="00392EF1" w14:paraId="6E2A4A3B" w14:textId="77777777">
      <w:pPr>
        <w:keepNext/>
        <w:keepLines/>
      </w:pPr>
    </w:p>
    <w:p w:rsidRPr="00DC308B" w:rsidR="00392EF1" w:rsidP="00EC4936" w:rsidRDefault="00392EF1" w14:paraId="676EB510" w14:textId="4D408E6F">
      <w:pPr>
        <w:pStyle w:val="Heading2"/>
        <w:rPr>
          <w:noProof/>
        </w:rPr>
      </w:pPr>
      <w:r>
        <w:t xml:space="preserve">Det er et strategisk mål for energiunionen at øge energiforsyningssikkerheden, bl.a. ved at reducere importen af energi. Kommissionen konstaterer nærmest i forbifarten, at der ikke kan konstateres fremskridt – tværtimod er udgifterne til energiimport steget igen. Brintens voksende betydning kan sågar bidrage til, at importen stiger yderligere i fremtiden, da Kommissionen bevidst satser på import i forbindelse med sin brintstrategi! EØSU forventer, at Kommissionen kommer med klare udmeldinger på dette område. </w:t>
      </w:r>
    </w:p>
    <w:p w:rsidRPr="00DC308B" w:rsidR="00392EF1" w:rsidP="00392EF1" w:rsidRDefault="00392EF1" w14:paraId="33AD2944" w14:textId="07779C0A"/>
    <w:p w:rsidRPr="00DC308B" w:rsidR="00E6375E" w:rsidP="00C146D8" w:rsidRDefault="00E6375E" w14:paraId="12A9D05A" w14:textId="787C8236">
      <w:pPr>
        <w:pStyle w:val="Heading2"/>
      </w:pPr>
      <w:r>
        <w:t>EØSU opfordrer også til, at idéen om europæisk solidaritet lægges til grund for sikringen af den energiimport, der ikke findes alternativer til. National enegang såsom Nord Stream 2</w:t>
      </w:r>
      <w:r w:rsidR="00E87D0D">
        <w:noBreakHyphen/>
      </w:r>
      <w:r>
        <w:t>gasledningsprojektet kan bringe ikke blot klimabeskyttelsen, men også forsyningssikkerheden i fare. Sådanne aktioner, der underminerer den europæiske solidaritet, bringer borgernes tillid til EU og EU's anseelse i tredjelande i fare.</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Manglende gennemførelse af målet om innovation og globalt lederskab</w:t>
      </w:r>
    </w:p>
    <w:p w:rsidRPr="00DC308B" w:rsidR="00392EF1" w:rsidP="00646DA7" w:rsidRDefault="00392EF1" w14:paraId="5E8FC0AB" w14:textId="77777777">
      <w:pPr>
        <w:keepNext/>
        <w:keepLines/>
      </w:pPr>
    </w:p>
    <w:p w:rsidRPr="00DC308B" w:rsidR="00392EF1" w:rsidP="008A5FF3" w:rsidRDefault="00392EF1" w14:paraId="4BDF425A" w14:textId="06A2CE2B">
      <w:pPr>
        <w:pStyle w:val="Heading2"/>
        <w:rPr>
          <w:noProof/>
        </w:rPr>
      </w:pPr>
      <w:r>
        <w:t xml:space="preserve">Også med hensyn til innovation er billedet negativt. Energiunionens store ambition om at indtage en global førerrolle modsiges af det billede af investeringer i forskning og innovation samt patentanmeldelser, der tegnes i rapporten om status over energiunionen. I lyset af denne bekymrende konstatering er det nødvendigt at foretage en nøjagtig og tilbundsgående analyse af fejlene, således at årsagen til den uheldige udvikling kan kortlægges og bestemmes på en minutiøs måde. Konkrete modforanstaltninger bør herefter udvikles på dette grundlag. </w:t>
      </w:r>
    </w:p>
    <w:p w:rsidRPr="00DC308B" w:rsidR="00392EF1" w:rsidP="00392EF1" w:rsidRDefault="00392EF1" w14:paraId="4F01558E" w14:textId="77777777"/>
    <w:p w:rsidRPr="00DC308B" w:rsidR="00392EF1" w:rsidP="008A5FF3" w:rsidRDefault="00392EF1" w14:paraId="013C00C8" w14:textId="71F64346">
      <w:pPr>
        <w:pStyle w:val="Heading2"/>
      </w:pPr>
      <w:r>
        <w:t>På baggrund af den situation, der er beskrevet i punkt 3.6.-3.11., må det siges helt klart, at det ikke er tilstrækkeligt at gentage de samme paroler igen og igen, hvis de ikke følges op af konkrete tiltag. Ellers bliver EU-politikkens troværdighed draget i tvivl. I ingen af de foreliggende dokumenter fra Kommissionen, herunder strategien for integration af energisystemet og om brint, nævnes der konkrete foranstaltninger, som kunne bidrage til at nå de ovenfor nævnte mål.</w:t>
      </w:r>
    </w:p>
    <w:p w:rsidRPr="00DC308B" w:rsidR="00392EF1" w:rsidP="00392EF1" w:rsidRDefault="00392EF1" w14:paraId="1202D3DE" w14:textId="77777777"/>
    <w:p w:rsidRPr="00DC308B" w:rsidR="00392EF1" w:rsidP="00646DA7" w:rsidRDefault="00392EF1" w14:paraId="118696E3" w14:textId="0F7FC281">
      <w:pPr>
        <w:keepNext/>
        <w:keepLines/>
        <w:ind w:left="567"/>
        <w:rPr>
          <w:i/>
        </w:rPr>
      </w:pPr>
      <w:r>
        <w:rPr>
          <w:i/>
        </w:rPr>
        <w:t>Energiunionens social- og regionalpolitiske relevans</w:t>
      </w:r>
    </w:p>
    <w:p w:rsidRPr="00DC308B" w:rsidR="00392EF1" w:rsidP="00646DA7" w:rsidRDefault="00392EF1" w14:paraId="73572E85" w14:textId="77777777">
      <w:pPr>
        <w:keepNext/>
        <w:keepLines/>
      </w:pPr>
    </w:p>
    <w:p w:rsidRPr="00DC308B" w:rsidR="00392EF1" w:rsidP="008A5FF3" w:rsidRDefault="00392EF1" w14:paraId="72A09D06" w14:textId="58AB09FD">
      <w:pPr>
        <w:pStyle w:val="Heading2"/>
        <w:rPr>
          <w:noProof/>
        </w:rPr>
      </w:pPr>
      <w:r>
        <w:t xml:space="preserve">Kommissionen kommer i kapitel 2.6 og 3.3 i sin rapport om status over energiunionen også med nogle socialpolitiske betragtninger. Disse betragtninger er rigtige, og EØSU støtter især, at covid-19-genopretningsstøtten knyttes til de klima- og energipolitiske mål. Også de planlagte foranstaltninger for en retfærdig omstilling (just transition) er rigtige og udgør et grundlag for, at det kan lykkes at vinde befolkningens opbakning til opfyldelsen af de klima- og </w:t>
      </w:r>
      <w:r>
        <w:lastRenderedPageBreak/>
        <w:t xml:space="preserve">energipolitiske mål. Om det dermed rent faktisk kan lykkes at realisere princippet om, at "ingen lades i stikken", vil konkret afhænge af den operationelle tilgang og finansieringen af de enkelte instrumenter samt den konkrete gennemførelse af dem på nationalt niveau. </w:t>
      </w:r>
    </w:p>
    <w:p w:rsidRPr="00DC308B" w:rsidR="00392EF1" w:rsidP="00392EF1" w:rsidRDefault="00392EF1" w14:paraId="16B4E100" w14:textId="77777777"/>
    <w:p w:rsidRPr="00DC308B" w:rsidR="00392EF1" w:rsidP="008A5FF3" w:rsidRDefault="00392EF1" w14:paraId="34286D2E" w14:textId="794B737B">
      <w:pPr>
        <w:pStyle w:val="Heading2"/>
        <w:rPr>
          <w:noProof/>
        </w:rPr>
      </w:pPr>
      <w:r>
        <w:t>EØSU minder, som påpeget i tidligere udtalelser</w:t>
      </w:r>
      <w:r w:rsidRPr="00E87D0D">
        <w:rPr>
          <w:noProof/>
          <w:sz w:val="24"/>
          <w:szCs w:val="24"/>
          <w:vertAlign w:val="superscript"/>
        </w:rPr>
        <w:footnoteReference w:id="5"/>
      </w:r>
      <w:r>
        <w:t>, om, at det ikke kun er midlerne til fremme af den sociale og regionale samhørighed samt genopretningsstøtten, der skal anvendes på en sådan måde, at de støtter klimabeskyttelsen og energiomstillingen. Tværtimod skal (og kan) klima- og energipolitikken også udformes således, at den fremmer den sociale og regionale samhørighed. Sådanne tiltag findes allerede, og nogle af dem er sågar nævnt i meddelelsen om vurdering af de nationale energi- og klimaplaner, f.eks. projekter til etablering af solenergianlæg i tidligere brunkulsområder i Portugal og Grækenland og den meget strategisk orienterede prosumentstøtte i Litauen. Disse eksempler er imidlertid langt fra almindelig praksis eller mainstream.</w:t>
      </w:r>
    </w:p>
    <w:p w:rsidRPr="00DC308B" w:rsidR="00392EF1" w:rsidP="00392EF1" w:rsidRDefault="00392EF1" w14:paraId="0DF14FB0" w14:textId="77777777"/>
    <w:p w:rsidRPr="00DC308B" w:rsidR="00392EF1" w:rsidP="008A5FF3" w:rsidRDefault="00392EF1" w14:paraId="7D8ABB78" w14:textId="2ECBED50">
      <w:pPr>
        <w:pStyle w:val="Heading2"/>
        <w:rPr>
          <w:noProof/>
        </w:rPr>
      </w:pPr>
      <w:r>
        <w:t>Og dermed er der en risiko for, at energiomstillingen øger de sociale og regionale forskelle, f.eks. hvis Kommissionen integrerer energisystemet, udbygger brintinfrastrukturen og fremmer offshore-energien som planlagt, da den i så fald foretrækker centralistiske koncepter frem for decentrale.</w:t>
      </w:r>
    </w:p>
    <w:p w:rsidRPr="00DC308B" w:rsidR="00392EF1" w:rsidP="00392EF1" w:rsidRDefault="00392EF1" w14:paraId="4E46F510" w14:textId="77777777"/>
    <w:p w:rsidRPr="00DC308B" w:rsidR="00392EF1" w:rsidP="008A5FF3" w:rsidRDefault="00392EF1" w14:paraId="13343411" w14:textId="1BC9C371">
      <w:pPr>
        <w:pStyle w:val="Heading2"/>
      </w:pPr>
      <w:r>
        <w:t>Under alle omstændigheder er den parallelle opbygning af centralistiske og decentrale infrastrukturer problematisk, og den risikerer at forårsage fejlinvesteringer. F.eks. vil der være tale om konkurrence mellem et omfattende brintrørledningsnet og den udbygning af kolde fjernvarmenet, som kræves i Kommissionens meddelelse om vurdering af de nationale energi- og klimaplaner. EØSU har derfor – af hensyn til investeringssikkerheden – anmodet om, at der træffes principielle afgørelser på dette område</w:t>
      </w:r>
      <w:r w:rsidRPr="00E87D0D">
        <w:rPr>
          <w:sz w:val="24"/>
          <w:szCs w:val="24"/>
          <w:vertAlign w:val="superscript"/>
        </w:rPr>
        <w:footnoteReference w:id="6"/>
      </w:r>
      <w:r>
        <w:t>. Disse har også strategisk betydning for energiunionens succes, men der er ikke taget hensyn til dem i de dokumenter, der behandles i denne udtalelse.</w:t>
      </w:r>
    </w:p>
    <w:p w:rsidRPr="00DC308B" w:rsidR="00392EF1" w:rsidP="00392EF1" w:rsidRDefault="00392EF1" w14:paraId="54BE2E11" w14:textId="77777777"/>
    <w:p w:rsidRPr="00DC308B" w:rsidR="00392EF1" w:rsidP="008A5FF3" w:rsidRDefault="00392EF1" w14:paraId="2033907C" w14:textId="037B665D">
      <w:pPr>
        <w:pStyle w:val="Heading2"/>
      </w:pPr>
      <w:r>
        <w:t>Ligesom det er tilfældet i næsten alle energipolitiske dokumenter fra Kommissionen i den seneste tid, spiller digitaliseringen ingen rolle i rapporten om status over energiunionen. Digitaliseringen giver imidlertid mulighed for interessante koncepter som f.eks. smart micro grids og smart markets, micro trading, virtuelle kraftværker osv. De kan alle bidrage til højere effektivitet og bedre resultater på det indre marked for energi, også fordi de styrker de aktive forbrugeres rolle. I rammestrategien for energiunionen kom Kommissionen ind på dette, om end noget kortfattet</w:t>
      </w:r>
      <w:r w:rsidRPr="00E87D0D" w:rsidR="00311BE2">
        <w:rPr>
          <w:sz w:val="24"/>
          <w:szCs w:val="24"/>
          <w:vertAlign w:val="superscript"/>
        </w:rPr>
        <w:footnoteReference w:id="7"/>
      </w:r>
      <w:r>
        <w:t>. Det er uforståeligt, at den ignorerer dette aspekt i rapporten om status over energiunionen, især da anvendelsen af digitale teknologier skal kontrolleres omhyggeligt med hensyn til relevans og eventuelle etiske problemer, især vedrørende datasuverænitet.</w:t>
      </w:r>
    </w:p>
    <w:p w:rsidRPr="00DC308B" w:rsidR="0087511F" w:rsidP="0087511F" w:rsidRDefault="0087511F" w14:paraId="7133C439" w14:textId="316624B9"/>
    <w:p w:rsidRPr="00DC308B" w:rsidR="000B2261" w:rsidP="0092523D" w:rsidRDefault="000B2261" w14:paraId="369B979D" w14:textId="3012A6FF">
      <w:pPr>
        <w:pStyle w:val="Heading2"/>
      </w:pPr>
      <w:r>
        <w:t>Under alle omstændigheder skal digitaliseringen udformes efter slutbrugerens behov. Borgerne venter stadig på bedre tjenesteydelser som følge af den stigende digitalisering, som f.eks. dagligt skift af leverandør, omgående tilbagemelding om fejl på målere eller mistænkelige forbrugsmønstre og smidige procedurer for tilslutning af egenproduktion til nettet.</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t>Særlige bemærkninger</w:t>
      </w:r>
    </w:p>
    <w:p w:rsidRPr="00DC308B" w:rsidR="00685417" w:rsidP="005F783F" w:rsidRDefault="00685417" w14:paraId="217868C6" w14:textId="0201492D">
      <w:pPr>
        <w:keepNext/>
        <w:spacing w:line="240" w:lineRule="auto"/>
      </w:pPr>
    </w:p>
    <w:p w:rsidRPr="00DC308B" w:rsidR="00685417" w:rsidP="00DC308B" w:rsidRDefault="00685417" w14:paraId="4B1F923B" w14:textId="49D70717">
      <w:pPr>
        <w:keepNext/>
        <w:ind w:left="567"/>
        <w:rPr>
          <w:i/>
          <w:color w:val="000000" w:themeColor="text1"/>
        </w:rPr>
      </w:pPr>
      <w:r>
        <w:rPr>
          <w:i/>
          <w:color w:val="000000" w:themeColor="text1"/>
        </w:rPr>
        <w:t>Kapitlet om dekarbonisering i rapporten om status over energiunionen</w:t>
      </w:r>
    </w:p>
    <w:p w:rsidRPr="00DC308B" w:rsidR="00685417" w:rsidP="005F783F" w:rsidRDefault="00685417" w14:paraId="1539B655" w14:textId="77777777">
      <w:pPr>
        <w:keepNext/>
        <w:spacing w:line="240" w:lineRule="auto"/>
        <w:rPr>
          <w:color w:val="000000" w:themeColor="text1"/>
        </w:rPr>
      </w:pPr>
    </w:p>
    <w:p w:rsidRPr="00DC308B" w:rsidR="00685417" w:rsidP="00DC308B" w:rsidRDefault="00685417" w14:paraId="621486A3" w14:textId="1B25ADC8">
      <w:pPr>
        <w:pStyle w:val="Heading2"/>
      </w:pPr>
      <w:r>
        <w:t>Kommissionen påpeger med rette, at anvendelsen af vedvarende energi indebærer mange fordele. Svaret på spørgsmålet om, hvem der får gavn af disse fordele, afhænger imidlertid af, om energiomstillingen grundlæggende bliver udformet decentralt eller centralistisk</w:t>
      </w:r>
      <w:r w:rsidRPr="00E87D0D">
        <w:rPr>
          <w:color w:val="000000" w:themeColor="text1"/>
          <w:sz w:val="24"/>
          <w:szCs w:val="24"/>
          <w:vertAlign w:val="superscript"/>
        </w:rPr>
        <w:footnoteReference w:id="8"/>
      </w:r>
      <w:r>
        <w:t>. Dette punkt omtaler Kommissionen ikke i sin rapport.</w:t>
      </w:r>
    </w:p>
    <w:p w:rsidRPr="00DC308B" w:rsidR="00685417" w:rsidP="005F783F" w:rsidRDefault="00685417" w14:paraId="487DF80D" w14:textId="77777777">
      <w:pPr>
        <w:spacing w:line="240" w:lineRule="auto"/>
      </w:pPr>
    </w:p>
    <w:p w:rsidRPr="00DC308B" w:rsidR="00685417" w:rsidP="00DC308B" w:rsidRDefault="00685417" w14:paraId="23A1E696" w14:textId="5937D2FF">
      <w:pPr>
        <w:pStyle w:val="Heading2"/>
        <w:keepNext/>
        <w:numPr>
          <w:ilvl w:val="0"/>
          <w:numId w:val="0"/>
        </w:numPr>
        <w:ind w:left="567" w:hanging="567"/>
        <w:rPr>
          <w:color w:val="000000" w:themeColor="text1"/>
        </w:rPr>
      </w:pPr>
      <w:r>
        <w:rPr>
          <w:i/>
          <w:color w:val="000000" w:themeColor="text1"/>
        </w:rPr>
        <w:tab/>
        <w:t>Kapitlet om energisikkerhed i rapporten om status over energiunionen</w:t>
      </w:r>
    </w:p>
    <w:p w:rsidRPr="00DC308B" w:rsidR="00685417" w:rsidP="005F783F" w:rsidRDefault="00685417" w14:paraId="1517D67F" w14:textId="77777777">
      <w:pPr>
        <w:keepNext/>
        <w:spacing w:line="240" w:lineRule="auto"/>
        <w:rPr>
          <w:color w:val="000000" w:themeColor="text1"/>
        </w:rPr>
      </w:pPr>
    </w:p>
    <w:p w:rsidRPr="00DC308B" w:rsidR="00685417" w:rsidP="00685417" w:rsidRDefault="00685417" w14:paraId="4E8C7CFC" w14:textId="569D5ABA">
      <w:pPr>
        <w:pStyle w:val="Heading2"/>
      </w:pPr>
      <w:r>
        <w:t>Kommissionen lægger med rette stor vægt på spørgsmålet om "forsyningssikkerhed" og i den forbindelse energisikkerhed. Dennes betydning for samfundsøkonomien er uvurderligt stor. Ud over det klassiske spørgsmål om afhængighed af import bør man især også tænke på modstandsdygtigheden over for angreb udefra, f.eks. gennem cyberkriminalitet. I den forbindelse viser de seneste forskningsresultater</w:t>
      </w:r>
      <w:r w:rsidRPr="00E87D0D" w:rsidR="00311BE2">
        <w:rPr>
          <w:color w:val="000000" w:themeColor="text1"/>
          <w:sz w:val="24"/>
          <w:szCs w:val="24"/>
          <w:vertAlign w:val="superscript"/>
        </w:rPr>
        <w:footnoteReference w:id="9"/>
      </w:r>
      <w:r>
        <w:t>, at den bedste strategi for en høj modstandsdygtighed er at styrke decentrale strukturer, som kan fungere selvstændigt. Kommissionen bør tage større hensyn til disse konklusioner.</w:t>
      </w:r>
    </w:p>
    <w:p w:rsidRPr="00DC308B" w:rsidR="00685417" w:rsidP="005F783F" w:rsidRDefault="00685417" w14:paraId="7EA3A7E2" w14:textId="77777777">
      <w:pPr>
        <w:spacing w:line="240" w:lineRule="auto"/>
      </w:pPr>
    </w:p>
    <w:p w:rsidRPr="00DC308B" w:rsidR="00685417" w:rsidP="00685417" w:rsidRDefault="00685417" w14:paraId="676C8F39" w14:textId="6AE89136">
      <w:pPr>
        <w:pStyle w:val="Heading2"/>
      </w:pPr>
      <w:r>
        <w:t>Det står klart, at grøn brint i fremtiden kommer til at yde et bidrag til et forsyningssikkert europæisk energisystem. EØSU henviser til sine udtalelser om brintstrategien</w:t>
      </w:r>
      <w:r w:rsidRPr="00E87D0D" w:rsidR="000B2261">
        <w:rPr>
          <w:noProof/>
          <w:sz w:val="24"/>
          <w:szCs w:val="24"/>
          <w:vertAlign w:val="superscript"/>
        </w:rPr>
        <w:footnoteReference w:id="10"/>
      </w:r>
      <w:r>
        <w:t xml:space="preserve"> og strategien for integration af energisystemet</w:t>
      </w:r>
      <w:r w:rsidRPr="00E87D0D"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32788758">
      <w:pPr>
        <w:pStyle w:val="Heading2"/>
        <w:rPr>
          <w:color w:val="000000" w:themeColor="text1"/>
        </w:rPr>
      </w:pPr>
      <w:r>
        <w:t>Også her må der ikke kun tænkes på teknologier i stor målestok (herunder udvikling af brintimportinfrastrukturer). Der findes en lang række innovative, miljøvenlige og frem for alt regionale/lokale løsninger, der kan gennemføres direkte på stedet (herunder produktion af regional brint eller syntetiske e-brændstoffer). Dette vil øge forsyningssikkerheden, mindske importafhængigheden og fremme lokal beskæftigelse i form af grønne job og merværdi i regionerne. Mikrovirksomheder og små og mellemstore virksomheder bør også have mulighed for at deltage i og drage fordel af den grønne pagt, hvilket vil øge accepten af den grønne pagt og energiomstillingen.</w:t>
      </w:r>
    </w:p>
    <w:p w:rsidRPr="00DC308B" w:rsidR="0050749D" w:rsidP="005F783F" w:rsidRDefault="0050749D" w14:paraId="23A67616" w14:textId="77777777">
      <w:pPr>
        <w:spacing w:line="240" w:lineRule="auto"/>
        <w:rPr>
          <w:color w:val="000000" w:themeColor="text1"/>
        </w:rPr>
      </w:pPr>
    </w:p>
    <w:p w:rsidRPr="00DC308B" w:rsidR="00685417" w:rsidP="005F783F" w:rsidRDefault="00685417" w14:paraId="5780AE90" w14:textId="167F6ED1">
      <w:pPr>
        <w:pStyle w:val="Heading2"/>
        <w:numPr>
          <w:ilvl w:val="0"/>
          <w:numId w:val="0"/>
        </w:numPr>
        <w:ind w:left="567"/>
        <w:rPr>
          <w:color w:val="000000" w:themeColor="text1"/>
        </w:rPr>
      </w:pPr>
      <w:r>
        <w:rPr>
          <w:i/>
          <w:color w:val="000000" w:themeColor="text1"/>
        </w:rPr>
        <w:t>Kapitlet om det indre marked for energi i rapporten om status over energiunionen og statusrapporten om det indre energimarked</w:t>
      </w:r>
    </w:p>
    <w:p w:rsidRPr="00DC308B" w:rsidR="00685417" w:rsidP="005F783F" w:rsidRDefault="00685417" w14:paraId="7EB5A2F3" w14:textId="77777777">
      <w:pPr>
        <w:spacing w:line="240" w:lineRule="auto"/>
      </w:pPr>
    </w:p>
    <w:p w:rsidRPr="00DC308B" w:rsidR="00685417" w:rsidP="005F783F" w:rsidRDefault="00685417" w14:paraId="19393FE9" w14:textId="66A6F5C7">
      <w:pPr>
        <w:pStyle w:val="Heading2"/>
      </w:pPr>
      <w:r>
        <w:t xml:space="preserve">Kommissionen påpeger, at der med pakken om ren energi er skabt bedre betingelser for at fremme forbrugernes deltagelse på energimarkederne og lige konkurrencevilkår for nye markedsdeltagere. Det er imidlertid kun bestemmelserne i direktivet om det indre marked for elektricitet, der er relevante i den forbindelse. Det er endnu ikke muligt at afgøre, i hvilket omfang medlemsstaterne har gennemført disse bestemmelser effektivt. Kommissionens </w:t>
      </w:r>
      <w:r>
        <w:lastRenderedPageBreak/>
        <w:t xml:space="preserve">konklusion er derfor forhastet. EØSU anmoder indtrængende om en seriøs evaluering af det vigtige mål om forbrugerdeltagelse, også med hensyn til fordelingspolitiske konsekvenser i form af deltagelse af husholdninger med en lav indkomst. </w:t>
      </w:r>
    </w:p>
    <w:p w:rsidRPr="00DC308B" w:rsidR="00685417" w:rsidP="005F783F" w:rsidRDefault="00685417" w14:paraId="44559C65" w14:textId="77777777">
      <w:pPr>
        <w:spacing w:line="240" w:lineRule="auto"/>
      </w:pPr>
    </w:p>
    <w:p w:rsidRPr="00DC308B" w:rsidR="004E60D8" w:rsidP="00500770" w:rsidRDefault="00685417" w14:paraId="0CCF668F" w14:textId="070FAD7D">
      <w:pPr>
        <w:pStyle w:val="Heading2"/>
      </w:pPr>
      <w:r>
        <w:t>Kommissionen fremhæver vigtigheden af markedsprissignaler, bl.a. for investorer. Dette er utvivlsomt et vigtigt aspekt. Det er imidlertid nødvendigt at se mere differentieret på dette spørgsmål. De fleste engrosmarkedspladser for elektricitet afspejler kortsigtede priser. Det er et omstridt spørgsmål inden for energiøkonomien, om disse overhovedet udsender signaler til investorerne. Dette har EØSU allerede peget på i tidligere udtalelser</w:t>
      </w:r>
      <w:r w:rsidRPr="00E87D0D">
        <w:rPr>
          <w:sz w:val="24"/>
          <w:szCs w:val="24"/>
          <w:vertAlign w:val="superscript"/>
        </w:rPr>
        <w:footnoteReference w:id="12"/>
      </w:r>
      <w:r>
        <w:t>. Derfor er det ikke hensigtsmæssigt, at Kommissionen i denne forbindelse taler udifferentieret om et "indre energimarked". Hvis energiunionen skal lykkes, er der behov for en ny markedsstruktur, i hvert fald på elektricitetsområdet. Et fuldt balanceansvar for vedvarende energi vil i sig selv ikke være tilstrækkeligt. Derfor opfordrer EØSU Kommissionen til hurtigst muligt at fremlægge sine overvejelser vedrørende nye markedsstrukturer. I den forbindelse bør alle markedsaktører have samme betingelser på balancemarkederne. Dette er absolut nødvendigt, hvis integrationen af energisystemet skal blive en succes</w:t>
      </w:r>
      <w:r w:rsidRPr="00E87D0D" w:rsidR="00135E40">
        <w:rPr>
          <w:noProof/>
          <w:sz w:val="24"/>
          <w:szCs w:val="24"/>
          <w:vertAlign w:val="superscript"/>
        </w:rPr>
        <w:footnoteReference w:id="13"/>
      </w:r>
      <w:r>
        <w:t>.</w:t>
      </w:r>
    </w:p>
    <w:p w:rsidRPr="00DC308B" w:rsidR="004E60D8" w:rsidP="005F783F" w:rsidRDefault="004E60D8" w14:paraId="2E5879A1" w14:textId="77777777">
      <w:pPr>
        <w:spacing w:line="240" w:lineRule="auto"/>
      </w:pPr>
    </w:p>
    <w:p w:rsidRPr="00DC308B" w:rsidR="00685417" w:rsidP="00500770" w:rsidRDefault="000B2261" w14:paraId="235DA4DC" w14:textId="4EB83B7F">
      <w:pPr>
        <w:pStyle w:val="Heading2"/>
      </w:pPr>
      <w:r>
        <w:t>Samtidig skal der tages hensyn til, at målene om forsyningssikkerhed og klimaneutralitet ikke kan nås med prissignaler alene.</w:t>
      </w:r>
    </w:p>
    <w:p w:rsidRPr="00DC308B" w:rsidR="00685417" w:rsidP="005F783F" w:rsidRDefault="00685417" w14:paraId="5A8A616A" w14:textId="77777777">
      <w:pPr>
        <w:spacing w:line="240" w:lineRule="auto"/>
      </w:pPr>
    </w:p>
    <w:p w:rsidRPr="00DC308B" w:rsidR="00685417" w:rsidP="00500770" w:rsidRDefault="00685417" w14:paraId="09C80304" w14:textId="75B62E0F">
      <w:pPr>
        <w:pStyle w:val="Heading2"/>
        <w:rPr>
          <w:noProof/>
        </w:rPr>
      </w:pPr>
      <w:r>
        <w:t xml:space="preserve">Kommissionen fremhæver i statusrapporten om det indre energimarked med stor ret, at det fortsat bør være en prioritet i den nationale energipolitik og i EU's energipolitik at skabe mulighed for konkurrence på produktions- og forsyningsniveau. Den beskriver imidlertid ikke, hvad dette konkret betyder. Det er ikke korrekt og heller ikke i overensstemmelse med den EU-lovgivning, der er forankret i pakken om ren energi, at konkurrencen kun kan fremmes gennem markedskobling. I forbindelse med anvendelsen af principperne for kapacitetstildeling og håndtering af kapacitetsbegrænsninger i henhold til artikel 16 i forordningen om elektricitetsmarkedet bør der tages hensyn til medlemsstaternes geografiske beliggenhed, som også kan berettige en forlængelse af fristen for at etablere kapacitet. Under alle omstændigheder er det især markedsadgangen, der er vigtig for at opnå en aktiv konkurrence, især for små aktører. Her kan bl.a. digitaliseringen være til stor nytte. </w:t>
      </w:r>
    </w:p>
    <w:p w:rsidRPr="00DC308B" w:rsidR="00685417" w:rsidP="005F783F" w:rsidRDefault="00685417" w14:paraId="1BB20C7F" w14:textId="77777777">
      <w:pPr>
        <w:spacing w:line="240" w:lineRule="auto"/>
      </w:pPr>
    </w:p>
    <w:p w:rsidRPr="00DC308B" w:rsidR="00685417" w:rsidP="00500770" w:rsidRDefault="00685417" w14:paraId="18963609" w14:textId="46724D4D">
      <w:pPr>
        <w:pStyle w:val="Heading2"/>
        <w:rPr>
          <w:noProof/>
        </w:rPr>
      </w:pPr>
      <w:r>
        <w:t>I statusrapporten om det indre energimarked beskriver Kommissionen desuden, at varmeværker som f.eks. gaskraftværker med kraftvarmeproduktion ganske vist kan give systemet vigtig fleksibilitet, men at dårligt udformede kapacitetsmekanismer kan medføre en stærk konkurrenceforvridning på det indre marked. EØSU henviser i den forbindelse til de synspunkter, som udvalget gav udtryk for i sin udtalelse TEN/625. Udvalget opfordrer Kommissionen til at foretage en kritisk evaluering af de kapacitetsmekanismer, der findes i medlemsstaterne, også med hensyn til overholdelse af kravene i artikel 22 i forordningen om det indre marked for elektricitet, som bl.a. fastsætter en grænseværdi på 550 g CO</w:t>
      </w:r>
      <w:r>
        <w:rPr>
          <w:vertAlign w:val="subscript"/>
        </w:rPr>
        <w:t>2</w:t>
      </w:r>
      <w:r>
        <w:t>/kWh.</w:t>
      </w:r>
    </w:p>
    <w:p w:rsidRPr="00DC308B" w:rsidR="00685417" w:rsidP="005F783F" w:rsidRDefault="00685417" w14:paraId="55A3BF33" w14:textId="77777777">
      <w:pPr>
        <w:spacing w:line="240" w:lineRule="auto"/>
      </w:pPr>
    </w:p>
    <w:p w:rsidRPr="00DC308B" w:rsidR="00685417" w:rsidP="00500770" w:rsidRDefault="00685417" w14:paraId="05EAEFC2" w14:textId="537C0A69">
      <w:pPr>
        <w:pStyle w:val="Heading2"/>
        <w:rPr>
          <w:noProof/>
        </w:rPr>
      </w:pPr>
      <w:r>
        <w:t xml:space="preserve">Kommissionen minder i statusrapporten om det indre energimarked om, at operatører af transmissions- eller distributionssystemer generelt er udelukket fra at eje og drive </w:t>
      </w:r>
      <w:r>
        <w:lastRenderedPageBreak/>
        <w:t>elektricitetslagringssystemer. EØSU tilslutter sig principielt denne afgørelse</w:t>
      </w:r>
      <w:r w:rsidRPr="00E87D0D">
        <w:rPr>
          <w:noProof/>
          <w:sz w:val="24"/>
          <w:szCs w:val="24"/>
          <w:vertAlign w:val="superscript"/>
        </w:rPr>
        <w:footnoteReference w:id="14"/>
      </w:r>
      <w:r>
        <w:t>, om end operatører af distributionsnet bør have mulighed for at eje og drive elektricitetslagringssystemer til formål, der tjener nettet. Udvalget er endvidere af den opfattelse, at dette bør gå hånd i hånd med styrkelsen af smart markets, således at operatører af elektricitetslagringssystemer har et incitament til at reagere på signaler fra netoperatørerne og udforme deres lagringssystemer, så de er hensigtsmæssige for systemet. Netoperatørerne har brug for passende incitamenter til at sende disse signaler.</w:t>
      </w:r>
    </w:p>
    <w:p w:rsidRPr="00DC308B" w:rsidR="00685417" w:rsidP="005F783F" w:rsidRDefault="00685417" w14:paraId="139350B0" w14:textId="0DE4B12D">
      <w:pPr>
        <w:spacing w:line="240" w:lineRule="auto"/>
      </w:pPr>
    </w:p>
    <w:p w:rsidRPr="00DC308B" w:rsidR="00384DFA" w:rsidP="00C146D8" w:rsidRDefault="00384DFA" w14:paraId="196DD441" w14:textId="7A460097">
      <w:pPr>
        <w:pStyle w:val="Heading2"/>
      </w:pPr>
      <w:r>
        <w:t>Distributionsnettene spiller en afgørende rolle for udbredelsen af smart markets og generelt for en vellykket energiomstilling. I fremtiden skal EU's energipolitik derfor i højere grad fokusere på at modernisere dem.</w:t>
      </w:r>
    </w:p>
    <w:p w:rsidRPr="00DC308B" w:rsidR="00384DFA" w:rsidP="005F783F" w:rsidRDefault="00384DFA" w14:paraId="22FED3A9" w14:textId="77777777">
      <w:pPr>
        <w:spacing w:line="240" w:lineRule="auto"/>
      </w:pPr>
    </w:p>
    <w:p w:rsidRPr="00DC308B" w:rsidR="00685417" w:rsidP="00500770" w:rsidRDefault="00685417" w14:paraId="158B395F" w14:textId="3AA2F7DF">
      <w:pPr>
        <w:pStyle w:val="Heading2"/>
      </w:pPr>
      <w:r>
        <w:t>EØSU er enig i Kommissionens opfattelse af, at det primære mål for energibeskatningsdirektivet 2003/96/EF ikke længere bliver nået. Udvalget støtter derfor Kommissionens intentioner og opfordrer til en ambitiøs revision af dette direktiv og andre mekanismer til afvikling af subsidier til fossile energiformer samt internalisering af eksterne omkostninger.</w:t>
      </w:r>
    </w:p>
    <w:p w:rsidRPr="00DC308B" w:rsidR="00685417" w:rsidP="005F783F" w:rsidRDefault="00685417" w14:paraId="1924A54A" w14:textId="77777777">
      <w:pPr>
        <w:spacing w:line="240" w:lineRule="auto"/>
      </w:pPr>
    </w:p>
    <w:p w:rsidRPr="00DC308B" w:rsidR="00685417" w:rsidP="00500770" w:rsidRDefault="00685417" w14:paraId="2DE5CF11" w14:textId="1B8EAD02">
      <w:pPr>
        <w:pStyle w:val="Heading2"/>
        <w:rPr>
          <w:noProof/>
        </w:rPr>
      </w:pPr>
      <w:r>
        <w:t>EØSU understreger på ny problematikken med energifattigdom og opfordrer Kommissionen til at træffe konkrete foranstaltninger, som går videre end de abstrakte retningslinjer vedrørende definitionen og et overvågningscenter. EØSU har flere gange fremhævet, at en bred inddragelse af borgerne på energiområdet er en af flere modeller, som kan bidrage til at løse problemet.</w:t>
      </w:r>
    </w:p>
    <w:p w:rsidRPr="00DC308B" w:rsidR="00685417" w:rsidP="005F783F" w:rsidRDefault="00685417" w14:paraId="5A825D5A" w14:textId="345177E9">
      <w:pPr>
        <w:spacing w:line="240" w:lineRule="auto"/>
      </w:pPr>
    </w:p>
    <w:p w:rsidRPr="00DC308B" w:rsidR="00A67921" w:rsidP="0092523D" w:rsidRDefault="00A67921" w14:paraId="3472064E" w14:textId="74D3B7F6">
      <w:pPr>
        <w:pStyle w:val="Heading2"/>
      </w:pPr>
      <w:r>
        <w:t>I denne sammenhæng minder EØSU om, at det for enhver pris skal forhindres, at der opstår et samfund, der er opdelt i to energiklasser. Det er ikke rimeligt, at det kun er finansielt og teknisk veludrustede husholdninger, der drager fordel af energiomstillingen, og at alle andre husholdninger skal dække omkostningerne. De borgere, der er berørt af energifattigdom, er som regel ikke dem, der står politisk stærkest. Derfor bør Kommissionen gøre mere for at sikre, at medlemsstaterne aktivt stræber efter at imødegå energifattigdommen på effektiv vis. Både den tilstræbte bølge af energirenoveringer på bygningsområdet og en aktiv inddragelse af borgerne i produktionen af vedvarende elektricitet kan bidrage til at lindre energifattigdom. Det skal bemærkes, at en eventuel udvidelse af emissionshandelssystemet til også at omfatte opvarmnings- og transportsektoren kan have konsekvenser for en retfærdig fordeling.</w:t>
      </w:r>
    </w:p>
    <w:p w:rsidRPr="00DC308B" w:rsidR="00A67921" w:rsidP="005F783F" w:rsidRDefault="00A67921" w14:paraId="5AA8EB9F" w14:textId="77777777">
      <w:pPr>
        <w:spacing w:line="240" w:lineRule="auto"/>
      </w:pPr>
    </w:p>
    <w:p w:rsidRPr="00DC308B" w:rsidR="00685417" w:rsidP="00DC308B" w:rsidRDefault="00685417" w14:paraId="564429B9" w14:textId="71FB1348">
      <w:pPr>
        <w:keepNext/>
        <w:ind w:left="567"/>
        <w:rPr>
          <w:i/>
          <w:color w:val="000000" w:themeColor="text1"/>
        </w:rPr>
      </w:pPr>
      <w:r>
        <w:rPr>
          <w:i/>
          <w:color w:val="000000" w:themeColor="text1"/>
        </w:rPr>
        <w:t>Kapitlet om forskning, innovation og konkurrenceevne i rapporten om status over energiunionen</w:t>
      </w:r>
    </w:p>
    <w:p w:rsidRPr="00DC308B" w:rsidR="00685417" w:rsidP="005F783F" w:rsidRDefault="00685417" w14:paraId="10018ADB" w14:textId="77777777">
      <w:pPr>
        <w:keepNext/>
        <w:spacing w:line="240" w:lineRule="auto"/>
      </w:pPr>
    </w:p>
    <w:p w:rsidRPr="00DC308B" w:rsidR="00685417" w:rsidP="00500770" w:rsidRDefault="00685417" w14:paraId="2638B593" w14:textId="623CF80E">
      <w:pPr>
        <w:pStyle w:val="Heading2"/>
        <w:rPr>
          <w:noProof/>
        </w:rPr>
      </w:pPr>
      <w:r>
        <w:t>EØSU frygter, at en af årsagerne til, at EU halter bagud på bestemte områder såsom solbatterier og lithium-ion batterier er, at efterspørgslen er for lav. Derfor opfordrer EØSU Kommissionen til at anlægge en bredere strategi. EU har brug for aktive, industripolitiske initiativer for at bryde Kinas markedsdominans. Kommissionens forslag om en forordning om batterier er et eksempel på et skridt i den rigtige retning. Desuden bør decentrale strukturer styrkes i det fremtidige energisystem. Det sætter nemlig skub i efterspørgslen efter f.eks. batterier, sørger for stordriftsfordele og gør dermed batterier attraktive prismæssigt.</w:t>
      </w:r>
    </w:p>
    <w:p w:rsidRPr="00DC308B" w:rsidR="00685417" w:rsidP="005F783F" w:rsidRDefault="00685417" w14:paraId="689A7CDA" w14:textId="77777777">
      <w:pPr>
        <w:spacing w:line="240" w:lineRule="auto"/>
      </w:pPr>
    </w:p>
    <w:p w:rsidRPr="00DC308B" w:rsidR="00685417" w:rsidP="00646DA7" w:rsidRDefault="00685417" w14:paraId="09B496BC" w14:textId="37547AB0">
      <w:pPr>
        <w:pStyle w:val="Heading2"/>
        <w:keepNext/>
        <w:keepLines/>
        <w:numPr>
          <w:ilvl w:val="0"/>
          <w:numId w:val="0"/>
        </w:numPr>
        <w:ind w:left="567"/>
        <w:rPr>
          <w:i/>
          <w:color w:val="000000" w:themeColor="text1"/>
        </w:rPr>
      </w:pPr>
      <w:r>
        <w:rPr>
          <w:i/>
        </w:rPr>
        <w:lastRenderedPageBreak/>
        <w:t>Kapitlet om energiunionen i et bredere grøn pagt-perspektiv i rapporten om status over energiunionen</w:t>
      </w:r>
    </w:p>
    <w:p w:rsidRPr="00DC308B" w:rsidR="00685417" w:rsidP="005F783F" w:rsidRDefault="00685417" w14:paraId="70074E1C" w14:textId="77777777">
      <w:pPr>
        <w:keepNext/>
        <w:keepLines/>
        <w:spacing w:line="240" w:lineRule="auto"/>
      </w:pPr>
    </w:p>
    <w:p w:rsidRPr="00DC308B" w:rsidR="00685417" w:rsidP="00500770" w:rsidRDefault="00685417" w14:paraId="634C81A1" w14:textId="03F7D60C">
      <w:pPr>
        <w:pStyle w:val="Heading2"/>
        <w:rPr>
          <w:noProof/>
        </w:rPr>
      </w:pPr>
      <w:r>
        <w:t>EØSU støtter Kommissionens bestræbelser på at fremme ambitiøse klimaaftaler på globalt plan. Dette kræver, at der indføres en grænseudligningstold i forbindelse med en mere ambitiøs og konkret inddragelse af klimabeskyttelsen (og andre bæredygtighedsmål) i internationale handelsaftaler</w:t>
      </w:r>
      <w:r w:rsidRPr="00E87D0D">
        <w:rPr>
          <w:noProof/>
          <w:sz w:val="24"/>
          <w:szCs w:val="24"/>
          <w:vertAlign w:val="superscript"/>
        </w:rPr>
        <w:footnoteReference w:id="15"/>
      </w:r>
      <w:r>
        <w:t>.</w:t>
      </w:r>
    </w:p>
    <w:p w:rsidRPr="00DC308B" w:rsidR="00685417" w:rsidP="005F783F" w:rsidRDefault="00685417" w14:paraId="0915E844" w14:textId="77777777">
      <w:pPr>
        <w:spacing w:line="240" w:lineRule="auto"/>
      </w:pPr>
    </w:p>
    <w:p w:rsidRPr="00DC308B" w:rsidR="00685417" w:rsidP="00DC308B" w:rsidRDefault="00685417" w14:paraId="287C25F6" w14:textId="1EED327C">
      <w:pPr>
        <w:pStyle w:val="Heading2"/>
        <w:keepNext/>
        <w:numPr>
          <w:ilvl w:val="0"/>
          <w:numId w:val="0"/>
        </w:numPr>
        <w:ind w:left="567"/>
        <w:rPr>
          <w:i/>
          <w:color w:val="000000" w:themeColor="text1"/>
        </w:rPr>
      </w:pPr>
      <w:r>
        <w:rPr>
          <w:i/>
          <w:color w:val="000000" w:themeColor="text1"/>
        </w:rPr>
        <w:t>Meddelelsen om vurdering af de nationale energi- og klimaplaner</w:t>
      </w:r>
    </w:p>
    <w:p w:rsidRPr="00DC308B" w:rsidR="00685417" w:rsidP="005F783F" w:rsidRDefault="00685417" w14:paraId="3DC91D1E" w14:textId="77777777">
      <w:pPr>
        <w:keepNext/>
        <w:spacing w:line="240" w:lineRule="auto"/>
      </w:pPr>
    </w:p>
    <w:p w:rsidRPr="00DC308B" w:rsidR="00685417" w:rsidP="00500770" w:rsidRDefault="00685417" w14:paraId="676EDE10" w14:textId="0CB6943E">
      <w:pPr>
        <w:pStyle w:val="Heading2"/>
        <w:rPr>
          <w:noProof/>
        </w:rPr>
      </w:pPr>
      <w:r>
        <w:t xml:space="preserve">EØSU forstår ikke, hvorfor Kommissionen begrænser sin kritik af den utilstrækkelige vurdering af de vedvarende energikilders potentiale til offshoreområdet. Udvalget opfordrer Kommissionen til at opgive sin ensidige præference for offshoreteknologier til skade for solcelleenergi og vindmøller på land og fremlægge særskilte udviklingsstrategier for de sidstnævnte teknologier. </w:t>
      </w:r>
    </w:p>
    <w:p w:rsidRPr="00DC308B" w:rsidR="00685417" w:rsidP="005F783F" w:rsidRDefault="00685417" w14:paraId="234A07AC" w14:textId="77777777">
      <w:pPr>
        <w:spacing w:line="240" w:lineRule="auto"/>
      </w:pPr>
    </w:p>
    <w:p w:rsidRPr="00DC308B" w:rsidR="00685417" w:rsidP="00500770" w:rsidRDefault="00685417" w14:paraId="6A150EA0" w14:textId="4EC59E53">
      <w:pPr>
        <w:pStyle w:val="Heading2"/>
      </w:pPr>
      <w:r>
        <w:t>EØSU bemærker og bifalder, at Kommissionen værdsætter de vedvarende energikilders potentiale til at skabe arbejdspladser. Udvalget fremhæver, at den fuldstændige udnyttelse af dette potentiale ikke sker af sig selv, men kræver en aktiv politik, navnlig med hensyn til kvaliteten af arbejdspladserne. I den forbindelse er det helt uforståeligt, at Kommissionen ofrer så lidt opmærksomhed på solceller, især da disse, som beskrevet i meddelelsen, er den mest beskæftigelsesintensive sektor.</w:t>
      </w:r>
    </w:p>
    <w:p w:rsidRPr="00DC308B" w:rsidR="00685417" w:rsidP="005F783F" w:rsidRDefault="00685417" w14:paraId="44DEF25B" w14:textId="77777777">
      <w:pPr>
        <w:spacing w:line="240" w:lineRule="auto"/>
      </w:pPr>
    </w:p>
    <w:p w:rsidRPr="00DC308B" w:rsidR="00685417" w:rsidP="00500770" w:rsidRDefault="00685417" w14:paraId="38046BEB" w14:textId="6B6188E1">
      <w:pPr>
        <w:pStyle w:val="Heading2"/>
      </w:pPr>
      <w:r>
        <w:t>I forbindelse med den forestående revision af direktivet om vedvarende energi opfordrer EØSU Kommissionen til at formulere udbudsreglerne på en sådan måde, at det bliver lettere for vedvarende energifællesskaber og SMV'er at deltage.</w:t>
      </w:r>
    </w:p>
    <w:p w:rsidRPr="00DC308B" w:rsidR="00685417" w:rsidP="005F783F" w:rsidRDefault="00685417" w14:paraId="1CACEE90" w14:textId="77777777">
      <w:pPr>
        <w:spacing w:line="240" w:lineRule="auto"/>
      </w:pPr>
    </w:p>
    <w:p w:rsidRPr="00DC308B" w:rsidR="00685417" w:rsidP="00500770" w:rsidRDefault="00685417" w14:paraId="3148DC23" w14:textId="77777777">
      <w:pPr>
        <w:pStyle w:val="Heading2"/>
      </w:pPr>
      <w:r>
        <w:t>EØSU er enig med Kommissionen i, at der er et presserende behov for investeringer i lavtemperaturfjernvarmesystemer. Et sådant initiativ bør sættes i gang.</w:t>
      </w:r>
    </w:p>
    <w:p w:rsidRPr="00DC308B" w:rsidR="00685417" w:rsidP="005F783F" w:rsidRDefault="00685417" w14:paraId="5331EBAD" w14:textId="77777777">
      <w:pPr>
        <w:spacing w:line="240" w:lineRule="auto"/>
      </w:pPr>
    </w:p>
    <w:p w:rsidRPr="00DC308B" w:rsidR="00685417" w:rsidP="00500770" w:rsidRDefault="00685417" w14:paraId="3D2B3832" w14:textId="3F39BEB3">
      <w:pPr>
        <w:pStyle w:val="Heading2"/>
      </w:pPr>
      <w:r>
        <w:t>Kulstofdræn er et vigtigt klimabeskyttelsesinstrument. Den bekymring for tiltagende naturlige forstyrrelser, som er formuleret i medlemsstaternes energi- og klimaplaner, bør imidlertid tages alvorligt. Derfor bør LULUCF-kreditter altid kun betragtes som et supplement til andre klimabeskyttelsesmuligheder.</w:t>
      </w:r>
    </w:p>
    <w:p w:rsidR="00685417" w:rsidP="005F783F" w:rsidRDefault="00685417" w14:paraId="0660F0E8" w14:textId="1ECD62CB">
      <w:pPr>
        <w:spacing w:line="240" w:lineRule="auto"/>
      </w:pPr>
    </w:p>
    <w:p w:rsidR="00AB3327" w:rsidP="00AB3327" w:rsidRDefault="00AB3327" w14:paraId="45BADF80" w14:textId="044EA587">
      <w:pPr>
        <w:outlineLvl w:val="1"/>
      </w:pPr>
      <w:r>
        <w:t>Bruxelles, den 24. marts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35AE1939">
      <w:pPr>
        <w:outlineLvl w:val="1"/>
      </w:pPr>
      <w:r>
        <w:t>Christa Schweng</w:t>
      </w:r>
    </w:p>
    <w:p w:rsidRPr="00CA4297" w:rsidR="00AB3327" w:rsidP="00AB3327" w:rsidRDefault="00482A20" w14:paraId="6B9A2D25" w14:textId="29261795">
      <w:r>
        <w:rPr>
          <w:color w:val="333333"/>
          <w:shd w:val="clear" w:color="auto" w:fill="FFFFFF"/>
        </w:rPr>
        <w:t>Formand for Det Europæiske Økonomiske og Sociale Udvalg</w:t>
      </w:r>
    </w:p>
    <w:p w:rsidRPr="00DC308B" w:rsidR="00646AC2" w:rsidP="00BC3F01" w:rsidRDefault="00646AC2" w14:paraId="5B3BE5E5" w14:textId="77777777">
      <w:pPr>
        <w:jc w:val="center"/>
      </w:pPr>
      <w:r>
        <w:t>_____________</w:t>
      </w:r>
    </w:p>
    <w:sectPr w:rsidRPr="00DC308B" w:rsidR="00646AC2" w:rsidSect="002561C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395D5B" w:rsidRDefault="00395D5B">
      <w:r>
        <w:separator/>
      </w:r>
    </w:p>
  </w:endnote>
  <w:endnote w:type="continuationSeparator" w:id="0">
    <w:p w14:paraId="7E031B62" w14:textId="77777777" w:rsidR="00395D5B" w:rsidRDefault="0039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6BDD4722"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5F783F">
      <w:rPr>
        <w:noProof/>
      </w:rPr>
      <w:t>1</w:t>
    </w:r>
    <w:r>
      <w:fldChar w:fldCharType="end"/>
    </w:r>
    <w:r>
      <w:t>/</w:t>
    </w:r>
    <w:fldSimple w:instr=" NUMPAGES ">
      <w:r w:rsidR="005F783F">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024C5A" w:rsidRPr="002561CA" w:rsidRDefault="00024C5A" w:rsidP="0025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789D7201" w:rsidR="00024C5A" w:rsidRPr="002561CA" w:rsidRDefault="002561CA" w:rsidP="002561CA">
    <w:pPr>
      <w:pStyle w:val="Footer"/>
    </w:pPr>
    <w:r>
      <w:t xml:space="preserve">TEN/724 – EESC-2020-04915-00-01-AC-TRA (EN) </w:t>
    </w:r>
    <w:r>
      <w:fldChar w:fldCharType="begin"/>
    </w:r>
    <w:r>
      <w:instrText xml:space="preserve"> PAGE  \* Arabic  \* MERGEFORMAT </w:instrText>
    </w:r>
    <w:r>
      <w:fldChar w:fldCharType="separate"/>
    </w:r>
    <w:r w:rsidR="005F783F">
      <w:rPr>
        <w:noProof/>
      </w:rPr>
      <w:t>13</w:t>
    </w:r>
    <w:r>
      <w:fldChar w:fldCharType="end"/>
    </w:r>
    <w:r>
      <w:t>/</w:t>
    </w:r>
    <w:fldSimple w:instr=" NUMPAGES ">
      <w:r w:rsidR="005F783F">
        <w:rPr>
          <w:noProof/>
        </w:rPr>
        <w:t>13</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024C5A" w:rsidRPr="002561CA" w:rsidRDefault="00024C5A" w:rsidP="0025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395D5B" w:rsidRDefault="00395D5B">
      <w:r>
        <w:separator/>
      </w:r>
    </w:p>
  </w:footnote>
  <w:footnote w:type="continuationSeparator" w:id="0">
    <w:p w14:paraId="54F1CA9C" w14:textId="77777777" w:rsidR="00395D5B" w:rsidRDefault="00395D5B">
      <w:r>
        <w:continuationSeparator/>
      </w:r>
    </w:p>
  </w:footnote>
  <w:footnote w:id="1">
    <w:p w14:paraId="52DB30A6" w14:textId="63658433" w:rsidR="00024C5A" w:rsidRPr="00E87D0D" w:rsidRDefault="00024C5A" w:rsidP="00E87D0D">
      <w:pPr>
        <w:pStyle w:val="FootnoteText"/>
      </w:pPr>
      <w:r w:rsidRPr="00E87D0D">
        <w:rPr>
          <w:sz w:val="24"/>
          <w:szCs w:val="24"/>
          <w:vertAlign w:val="superscript"/>
        </w:rPr>
        <w:footnoteRef/>
      </w:r>
      <w:r w:rsidRPr="00E87D0D">
        <w:tab/>
      </w:r>
      <w:hyperlink r:id="rId1" w:history="1">
        <w:r w:rsidRPr="00E87D0D">
          <w:rPr>
            <w:rStyle w:val="Hyperlink"/>
          </w:rPr>
          <w:t>COM(2015</w:t>
        </w:r>
        <w:r w:rsidRPr="00E87D0D">
          <w:rPr>
            <w:rStyle w:val="Hyperlink"/>
          </w:rPr>
          <w:t>)</w:t>
        </w:r>
        <w:r w:rsidRPr="00E87D0D">
          <w:rPr>
            <w:rStyle w:val="Hyperlink"/>
          </w:rPr>
          <w:t xml:space="preserve"> 80 final</w:t>
        </w:r>
      </w:hyperlink>
      <w:r w:rsidRPr="00E87D0D">
        <w:t>.</w:t>
      </w:r>
    </w:p>
  </w:footnote>
  <w:footnote w:id="2">
    <w:p w14:paraId="69D68615" w14:textId="11E16266" w:rsidR="00024C5A" w:rsidRPr="00E87D0D" w:rsidRDefault="00024C5A" w:rsidP="00E87D0D">
      <w:pPr>
        <w:pStyle w:val="FootnoteText"/>
      </w:pPr>
      <w:r w:rsidRPr="00E87D0D">
        <w:rPr>
          <w:sz w:val="24"/>
          <w:szCs w:val="24"/>
          <w:vertAlign w:val="superscript"/>
        </w:rPr>
        <w:footnoteRef/>
      </w:r>
      <w:r w:rsidRPr="00E87D0D">
        <w:tab/>
      </w:r>
      <w:hyperlink r:id="rId2" w:history="1">
        <w:r w:rsidRPr="00E87D0D">
          <w:rPr>
            <w:rStyle w:val="Hyperlink"/>
          </w:rPr>
          <w:t xml:space="preserve">COM(2020) 950 final, </w:t>
        </w:r>
        <w:r w:rsidRPr="00E87D0D">
          <w:rPr>
            <w:rStyle w:val="Hyperlink"/>
          </w:rPr>
          <w:t>B</w:t>
        </w:r>
        <w:r w:rsidRPr="00E87D0D">
          <w:rPr>
            <w:rStyle w:val="Hyperlink"/>
          </w:rPr>
          <w:t>ilag 2</w:t>
        </w:r>
      </w:hyperlink>
      <w:r w:rsidRPr="00E87D0D">
        <w:t>.</w:t>
      </w:r>
    </w:p>
  </w:footnote>
  <w:footnote w:id="3">
    <w:p w14:paraId="1AE824D7" w14:textId="7403A7F0" w:rsidR="00024C5A" w:rsidRPr="00E87D0D" w:rsidRDefault="00024C5A" w:rsidP="00E87D0D">
      <w:pPr>
        <w:pStyle w:val="FootnoteText"/>
      </w:pPr>
      <w:r w:rsidRPr="00E87D0D">
        <w:rPr>
          <w:sz w:val="24"/>
          <w:vertAlign w:val="superscript"/>
        </w:rPr>
        <w:footnoteRef/>
      </w:r>
      <w:r w:rsidRPr="00E87D0D">
        <w:tab/>
        <w:t>Hvilket kan undre i betragtning af, at man i over 30 år har talt om behovet for at afvikle miljøskadelige subsidier i EU.</w:t>
      </w:r>
    </w:p>
  </w:footnote>
  <w:footnote w:id="4">
    <w:p w14:paraId="0AD2F20D" w14:textId="20ECBCC5" w:rsidR="00024C5A" w:rsidRPr="00E87D0D" w:rsidRDefault="00024C5A" w:rsidP="00E87D0D">
      <w:pPr>
        <w:pStyle w:val="FootnoteText"/>
      </w:pPr>
      <w:r w:rsidRPr="00E87D0D">
        <w:rPr>
          <w:sz w:val="24"/>
          <w:szCs w:val="24"/>
          <w:vertAlign w:val="superscript"/>
        </w:rPr>
        <w:footnoteRef/>
      </w:r>
      <w:r w:rsidRPr="00E87D0D">
        <w:tab/>
        <w:t>Og det tyske rådsformandskab.</w:t>
      </w:r>
    </w:p>
  </w:footnote>
  <w:footnote w:id="5">
    <w:p w14:paraId="599C8B67" w14:textId="46E239DB" w:rsidR="00024C5A" w:rsidRPr="00E87D0D" w:rsidRDefault="00024C5A" w:rsidP="00E87D0D">
      <w:pPr>
        <w:pStyle w:val="FootnoteText"/>
      </w:pPr>
      <w:r w:rsidRPr="00E87D0D">
        <w:rPr>
          <w:sz w:val="24"/>
          <w:szCs w:val="24"/>
          <w:vertAlign w:val="superscript"/>
        </w:rPr>
        <w:footnoteRef/>
      </w:r>
      <w:r w:rsidRPr="00E87D0D">
        <w:tab/>
      </w:r>
      <w:hyperlink r:id="rId3" w:history="1">
        <w:r w:rsidRPr="00E87D0D">
          <w:rPr>
            <w:rStyle w:val="Hyperlink"/>
          </w:rPr>
          <w:t>EUT C 47 af 11.2.2020, s. 30</w:t>
        </w:r>
      </w:hyperlink>
      <w:r w:rsidRPr="00E87D0D">
        <w:t xml:space="preserve">, </w:t>
      </w:r>
      <w:hyperlink r:id="rId4" w:history="1">
        <w:r w:rsidRPr="00E87D0D">
          <w:rPr>
            <w:rStyle w:val="Hyperlink"/>
          </w:rPr>
          <w:t>EUT C 62 af 15.2.2019, s. 269</w:t>
        </w:r>
      </w:hyperlink>
      <w:r w:rsidRPr="00E87D0D">
        <w:t>.</w:t>
      </w:r>
    </w:p>
  </w:footnote>
  <w:footnote w:id="6">
    <w:p w14:paraId="659CCE79" w14:textId="76C2E3F6" w:rsidR="00024C5A" w:rsidRPr="00E87D0D" w:rsidRDefault="00024C5A" w:rsidP="00E87D0D">
      <w:pPr>
        <w:pStyle w:val="FootnoteText"/>
        <w:keepLines w:val="0"/>
      </w:pPr>
      <w:r w:rsidRPr="00E87D0D">
        <w:rPr>
          <w:sz w:val="24"/>
          <w:szCs w:val="24"/>
          <w:vertAlign w:val="superscript"/>
        </w:rPr>
        <w:footnoteRef/>
      </w:r>
      <w:r w:rsidRPr="00E87D0D">
        <w:tab/>
      </w:r>
      <w:hyperlink r:id="rId5" w:history="1">
        <w:r w:rsidRPr="00E87D0D">
          <w:rPr>
            <w:rStyle w:val="Hyperlink"/>
          </w:rPr>
          <w:t>EUT C 429 af 11.12.2020, s. 85</w:t>
        </w:r>
      </w:hyperlink>
      <w:r w:rsidRPr="00E87D0D">
        <w:t>.</w:t>
      </w:r>
    </w:p>
  </w:footnote>
  <w:footnote w:id="7">
    <w:p w14:paraId="2D5D8D92" w14:textId="0B6D8AFE" w:rsidR="00311BE2" w:rsidRPr="00E87D0D" w:rsidRDefault="00311BE2" w:rsidP="00E87D0D">
      <w:pPr>
        <w:pStyle w:val="FootnoteText"/>
        <w:keepLines w:val="0"/>
      </w:pPr>
      <w:r w:rsidRPr="00E87D0D">
        <w:rPr>
          <w:sz w:val="24"/>
          <w:szCs w:val="24"/>
          <w:vertAlign w:val="superscript"/>
        </w:rPr>
        <w:footnoteRef/>
      </w:r>
      <w:r w:rsidRPr="00E87D0D">
        <w:tab/>
      </w:r>
      <w:hyperlink r:id="rId6" w:history="1">
        <w:r w:rsidRPr="00E87D0D">
          <w:rPr>
            <w:rStyle w:val="Hyperlink"/>
          </w:rPr>
          <w:t>COM(2015)</w:t>
        </w:r>
        <w:r w:rsidRPr="00E87D0D">
          <w:rPr>
            <w:rStyle w:val="Hyperlink"/>
          </w:rPr>
          <w:t xml:space="preserve"> </w:t>
        </w:r>
        <w:r w:rsidRPr="00E87D0D">
          <w:rPr>
            <w:rStyle w:val="Hyperlink"/>
          </w:rPr>
          <w:t>80</w:t>
        </w:r>
        <w:r w:rsidRPr="00E87D0D">
          <w:rPr>
            <w:rStyle w:val="Hyperlink"/>
          </w:rPr>
          <w:t xml:space="preserve"> </w:t>
        </w:r>
        <w:r w:rsidRPr="00E87D0D">
          <w:rPr>
            <w:rStyle w:val="Hyperlink"/>
          </w:rPr>
          <w:t>final, s. 13</w:t>
        </w:r>
      </w:hyperlink>
      <w:r w:rsidRPr="00E87D0D">
        <w:t>.</w:t>
      </w:r>
    </w:p>
  </w:footnote>
  <w:footnote w:id="8">
    <w:p w14:paraId="3E17A2AB" w14:textId="4AC1D091" w:rsidR="00024C5A" w:rsidRPr="00E87D0D" w:rsidRDefault="00024C5A" w:rsidP="00E87D0D">
      <w:pPr>
        <w:pStyle w:val="FootnoteText"/>
        <w:keepLines w:val="0"/>
      </w:pPr>
      <w:r w:rsidRPr="00E87D0D">
        <w:rPr>
          <w:sz w:val="24"/>
          <w:szCs w:val="24"/>
          <w:vertAlign w:val="superscript"/>
        </w:rPr>
        <w:footnoteRef/>
      </w:r>
      <w:r w:rsidRPr="00E87D0D">
        <w:tab/>
      </w:r>
      <w:hyperlink r:id="rId7" w:history="1">
        <w:r w:rsidRPr="00E87D0D">
          <w:rPr>
            <w:rStyle w:val="Hyperlink"/>
          </w:rPr>
          <w:t>EUT C 429 af 11.12.2020, s. 85</w:t>
        </w:r>
      </w:hyperlink>
      <w:r w:rsidRPr="00E87D0D">
        <w:t>.</w:t>
      </w:r>
    </w:p>
  </w:footnote>
  <w:footnote w:id="9">
    <w:p w14:paraId="3F4602BC" w14:textId="086B2545" w:rsidR="00311BE2" w:rsidRPr="00E87D0D" w:rsidRDefault="00311BE2" w:rsidP="00E87D0D">
      <w:pPr>
        <w:spacing w:after="60" w:line="240" w:lineRule="auto"/>
        <w:ind w:left="567" w:hanging="567"/>
        <w:rPr>
          <w:sz w:val="16"/>
        </w:rPr>
      </w:pPr>
      <w:r w:rsidRPr="00E87D0D">
        <w:rPr>
          <w:sz w:val="24"/>
          <w:szCs w:val="24"/>
          <w:vertAlign w:val="superscript"/>
        </w:rPr>
        <w:footnoteRef/>
      </w:r>
      <w:r w:rsidRPr="00E87D0D">
        <w:rPr>
          <w:sz w:val="16"/>
        </w:rPr>
        <w:tab/>
        <w:t xml:space="preserve">Se Hirschl, B., Aretz, A., Bost, M., Tapia, M., and Gößling-Reisemann, S. (2018): Vulnerabilität und Resilienz des digitalen Stromsystems. Schlussbericht. Berlin, Bremen, kan findes på: </w:t>
      </w:r>
      <w:hyperlink r:id="rId8" w:history="1">
        <w:r w:rsidRPr="00E87D0D">
          <w:rPr>
            <w:rStyle w:val="Hyperlink"/>
            <w:sz w:val="16"/>
          </w:rPr>
          <w:t>www.strom-resilienz.de</w:t>
        </w:r>
      </w:hyperlink>
    </w:p>
  </w:footnote>
  <w:footnote w:id="10">
    <w:p w14:paraId="37AA1ADA" w14:textId="62F7D6C0" w:rsidR="000B2261" w:rsidRPr="00E87D0D" w:rsidRDefault="000B2261" w:rsidP="00E87D0D">
      <w:pPr>
        <w:pStyle w:val="FootnoteText"/>
      </w:pPr>
      <w:r w:rsidRPr="00E87D0D">
        <w:rPr>
          <w:sz w:val="24"/>
          <w:szCs w:val="24"/>
          <w:vertAlign w:val="superscript"/>
        </w:rPr>
        <w:footnoteRef/>
      </w:r>
      <w:r w:rsidRPr="00E87D0D">
        <w:tab/>
      </w:r>
      <w:hyperlink r:id="rId9" w:history="1">
        <w:r w:rsidRPr="00E87D0D">
          <w:rPr>
            <w:rStyle w:val="Hyperlink"/>
          </w:rPr>
          <w:t>EUT C 123 af 9.4.</w:t>
        </w:r>
        <w:r w:rsidRPr="00E87D0D">
          <w:rPr>
            <w:rStyle w:val="Hyperlink"/>
          </w:rPr>
          <w:t>2</w:t>
        </w:r>
        <w:r w:rsidRPr="00E87D0D">
          <w:rPr>
            <w:rStyle w:val="Hyperlink"/>
          </w:rPr>
          <w:t>021, s. 30</w:t>
        </w:r>
      </w:hyperlink>
      <w:r w:rsidRPr="00E87D0D">
        <w:t>.</w:t>
      </w:r>
    </w:p>
  </w:footnote>
  <w:footnote w:id="11">
    <w:p w14:paraId="13D4EF52" w14:textId="6430A19A" w:rsidR="000B2261" w:rsidRPr="00E87D0D" w:rsidRDefault="000B2261" w:rsidP="00E87D0D">
      <w:pPr>
        <w:pStyle w:val="FootnoteText"/>
      </w:pPr>
      <w:r w:rsidRPr="00E87D0D">
        <w:rPr>
          <w:sz w:val="24"/>
          <w:szCs w:val="24"/>
          <w:vertAlign w:val="superscript"/>
        </w:rPr>
        <w:footnoteRef/>
      </w:r>
      <w:r w:rsidRPr="00E87D0D">
        <w:tab/>
      </w:r>
      <w:hyperlink r:id="rId10" w:history="1">
        <w:r w:rsidRPr="00E87D0D">
          <w:rPr>
            <w:rStyle w:val="Hyperlink"/>
          </w:rPr>
          <w:t>EUT C 123 af 9.4.</w:t>
        </w:r>
        <w:r w:rsidRPr="00E87D0D">
          <w:rPr>
            <w:rStyle w:val="Hyperlink"/>
          </w:rPr>
          <w:t>2</w:t>
        </w:r>
        <w:r w:rsidRPr="00E87D0D">
          <w:rPr>
            <w:rStyle w:val="Hyperlink"/>
          </w:rPr>
          <w:t>021, s. 22</w:t>
        </w:r>
      </w:hyperlink>
      <w:r w:rsidRPr="00E87D0D">
        <w:t>.</w:t>
      </w:r>
    </w:p>
  </w:footnote>
  <w:footnote w:id="12">
    <w:p w14:paraId="491E1C95" w14:textId="1E933435" w:rsidR="00024C5A" w:rsidRPr="00E87D0D" w:rsidRDefault="00024C5A" w:rsidP="00E87D0D">
      <w:pPr>
        <w:pStyle w:val="FootnoteText"/>
      </w:pPr>
      <w:r w:rsidRPr="00E87D0D">
        <w:rPr>
          <w:sz w:val="24"/>
          <w:szCs w:val="24"/>
          <w:vertAlign w:val="superscript"/>
        </w:rPr>
        <w:footnoteRef/>
      </w:r>
      <w:r w:rsidRPr="00E87D0D">
        <w:tab/>
      </w:r>
      <w:hyperlink r:id="rId11" w:history="1">
        <w:r w:rsidRPr="00E87D0D">
          <w:rPr>
            <w:rStyle w:val="Hyperlink"/>
          </w:rPr>
          <w:t>EUT C 82 af 3.3.2016, s. 13</w:t>
        </w:r>
      </w:hyperlink>
      <w:r w:rsidRPr="00E87D0D">
        <w:t>.</w:t>
      </w:r>
    </w:p>
  </w:footnote>
  <w:footnote w:id="13">
    <w:p w14:paraId="288B3287" w14:textId="01145047" w:rsidR="00135E40" w:rsidRPr="00E87D0D" w:rsidRDefault="00135E40" w:rsidP="00E87D0D">
      <w:pPr>
        <w:pStyle w:val="FootnoteText"/>
      </w:pPr>
      <w:r w:rsidRPr="00E87D0D">
        <w:rPr>
          <w:sz w:val="24"/>
          <w:szCs w:val="24"/>
          <w:vertAlign w:val="superscript"/>
        </w:rPr>
        <w:footnoteRef/>
      </w:r>
      <w:r w:rsidRPr="00E87D0D">
        <w:tab/>
      </w:r>
      <w:hyperlink r:id="rId12" w:history="1">
        <w:r w:rsidRPr="00E87D0D">
          <w:rPr>
            <w:rStyle w:val="Hyperlink"/>
          </w:rPr>
          <w:t>EUT C 364 af 28.10.2020, s. 158</w:t>
        </w:r>
      </w:hyperlink>
      <w:r w:rsidRPr="00E87D0D">
        <w:t>.</w:t>
      </w:r>
    </w:p>
  </w:footnote>
  <w:footnote w:id="14">
    <w:p w14:paraId="5632850A" w14:textId="03585AAF" w:rsidR="00024C5A" w:rsidRPr="00E87D0D" w:rsidRDefault="00024C5A" w:rsidP="00E87D0D">
      <w:pPr>
        <w:pStyle w:val="FootnoteText"/>
      </w:pPr>
      <w:r w:rsidRPr="00E87D0D">
        <w:rPr>
          <w:sz w:val="24"/>
          <w:szCs w:val="24"/>
          <w:vertAlign w:val="superscript"/>
        </w:rPr>
        <w:footnoteRef/>
      </w:r>
      <w:r w:rsidRPr="00E87D0D">
        <w:tab/>
      </w:r>
      <w:hyperlink r:id="rId13" w:history="1">
        <w:r w:rsidRPr="00E87D0D">
          <w:rPr>
            <w:rStyle w:val="Hyperlink"/>
          </w:rPr>
          <w:t>EUT C 288 af 31.8.2017, s. 91</w:t>
        </w:r>
      </w:hyperlink>
      <w:r w:rsidRPr="00E87D0D">
        <w:t>.</w:t>
      </w:r>
    </w:p>
  </w:footnote>
  <w:footnote w:id="15">
    <w:p w14:paraId="6B26B08A" w14:textId="6F9BA977" w:rsidR="00024C5A" w:rsidRPr="00E87D0D" w:rsidRDefault="00024C5A" w:rsidP="00E87D0D">
      <w:pPr>
        <w:pStyle w:val="FootnoteText"/>
      </w:pPr>
      <w:r w:rsidRPr="00E87D0D">
        <w:rPr>
          <w:sz w:val="24"/>
          <w:szCs w:val="24"/>
          <w:vertAlign w:val="superscript"/>
        </w:rPr>
        <w:footnoteRef/>
      </w:r>
      <w:r w:rsidRPr="00E87D0D">
        <w:tab/>
      </w:r>
      <w:hyperlink r:id="rId14" w:history="1">
        <w:r w:rsidRPr="00E87D0D">
          <w:rPr>
            <w:rStyle w:val="Hyperlink"/>
          </w:rPr>
          <w:t>EUT C 81 af 2.3.2018, s. 44</w:t>
        </w:r>
      </w:hyperlink>
      <w:r w:rsidRPr="00E87D0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024C5A" w:rsidRPr="002561CA" w:rsidRDefault="00024C5A" w:rsidP="0025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404C972D" w:rsidR="00024C5A" w:rsidRPr="002561CA" w:rsidRDefault="00024C5A" w:rsidP="00256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024C5A" w:rsidRPr="002561CA" w:rsidRDefault="00024C5A" w:rsidP="0025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activeWritingStyle w:lang="da-DK" w:vendorID="64" w:dllVersion="131078"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E17"/>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4D5"/>
    <w:rsid w:val="00252A21"/>
    <w:rsid w:val="00253E4F"/>
    <w:rsid w:val="002542E4"/>
    <w:rsid w:val="002561CA"/>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16AC"/>
    <w:rsid w:val="002B2DF7"/>
    <w:rsid w:val="002C0595"/>
    <w:rsid w:val="002C3BF4"/>
    <w:rsid w:val="002C3CFE"/>
    <w:rsid w:val="002C749F"/>
    <w:rsid w:val="002D0068"/>
    <w:rsid w:val="002D1723"/>
    <w:rsid w:val="002D1B83"/>
    <w:rsid w:val="002D3923"/>
    <w:rsid w:val="002E0A4C"/>
    <w:rsid w:val="002E14C1"/>
    <w:rsid w:val="002E7B33"/>
    <w:rsid w:val="002F059B"/>
    <w:rsid w:val="002F5B0B"/>
    <w:rsid w:val="00300924"/>
    <w:rsid w:val="00300FB5"/>
    <w:rsid w:val="00301D8C"/>
    <w:rsid w:val="0030596E"/>
    <w:rsid w:val="003073C3"/>
    <w:rsid w:val="0031121F"/>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7503"/>
    <w:rsid w:val="005E2164"/>
    <w:rsid w:val="005E2F07"/>
    <w:rsid w:val="005E2FEA"/>
    <w:rsid w:val="005E6247"/>
    <w:rsid w:val="005F314B"/>
    <w:rsid w:val="005F783F"/>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750A2"/>
    <w:rsid w:val="007817D6"/>
    <w:rsid w:val="00781E1C"/>
    <w:rsid w:val="00786E7C"/>
    <w:rsid w:val="00787912"/>
    <w:rsid w:val="0079177A"/>
    <w:rsid w:val="00794836"/>
    <w:rsid w:val="007948D5"/>
    <w:rsid w:val="007A15C9"/>
    <w:rsid w:val="007A245B"/>
    <w:rsid w:val="007A6676"/>
    <w:rsid w:val="007B43D9"/>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E42"/>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274"/>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38F0"/>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0B5"/>
    <w:rsid w:val="00DC1347"/>
    <w:rsid w:val="00DC308B"/>
    <w:rsid w:val="00DC311E"/>
    <w:rsid w:val="00DC3154"/>
    <w:rsid w:val="00DC39F1"/>
    <w:rsid w:val="00DE2008"/>
    <w:rsid w:val="00DE4B35"/>
    <w:rsid w:val="00DE64CF"/>
    <w:rsid w:val="00DF19C1"/>
    <w:rsid w:val="00DF21DA"/>
    <w:rsid w:val="00DF54CA"/>
    <w:rsid w:val="00DF56C9"/>
    <w:rsid w:val="00DF5B64"/>
    <w:rsid w:val="00DF7201"/>
    <w:rsid w:val="00E02794"/>
    <w:rsid w:val="00E043E3"/>
    <w:rsid w:val="00E04660"/>
    <w:rsid w:val="00E0505B"/>
    <w:rsid w:val="00E11280"/>
    <w:rsid w:val="00E12359"/>
    <w:rsid w:val="00E152FF"/>
    <w:rsid w:val="00E1539B"/>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87D0D"/>
    <w:rsid w:val="00E90C7A"/>
    <w:rsid w:val="00E91730"/>
    <w:rsid w:val="00E95D04"/>
    <w:rsid w:val="00E96F04"/>
    <w:rsid w:val="00E97AEC"/>
    <w:rsid w:val="00EA1963"/>
    <w:rsid w:val="00EA20FE"/>
    <w:rsid w:val="00EA2AE0"/>
    <w:rsid w:val="00EA7135"/>
    <w:rsid w:val="00EB0BF4"/>
    <w:rsid w:val="00EB491E"/>
    <w:rsid w:val="00EB681B"/>
    <w:rsid w:val="00EB7363"/>
    <w:rsid w:val="00EC2255"/>
    <w:rsid w:val="00EC4936"/>
    <w:rsid w:val="00EC4FAD"/>
    <w:rsid w:val="00ED484F"/>
    <w:rsid w:val="00ED4B56"/>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77C90"/>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C0FE5"/>
    <w:rsid w:val="00FC2EF0"/>
    <w:rsid w:val="00FD1ABC"/>
    <w:rsid w:val="00FD22AB"/>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3BE568"/>
  <w15:docId w15:val="{ABFE2E09-F1BF-4667-B325-53AB9718F33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a-DK" w:eastAsia="en-US" w:bidi="ar-SA"/>
    </w:rPr>
  </w:style>
  <w:style w:type="character" w:customStyle="1" w:styleId="Heading2Char">
    <w:name w:val="Heading 2 Char"/>
    <w:basedOn w:val="DefaultParagraphFont"/>
    <w:link w:val="Heading2"/>
    <w:locked/>
    <w:rsid w:val="00CB1536"/>
    <w:rPr>
      <w:lang w:val="da-DK" w:eastAsia="en-US" w:bidi="ar-SA"/>
    </w:rPr>
  </w:style>
  <w:style w:type="character" w:customStyle="1" w:styleId="Heading3Char">
    <w:name w:val="Heading 3 Char"/>
    <w:basedOn w:val="DefaultParagraphFont"/>
    <w:link w:val="Heading3"/>
    <w:locked/>
    <w:rsid w:val="00CB1536"/>
    <w:rPr>
      <w:lang w:val="da-DK" w:eastAsia="en-US" w:bidi="ar-SA"/>
    </w:rPr>
  </w:style>
  <w:style w:type="character" w:customStyle="1" w:styleId="Heading4Char">
    <w:name w:val="Heading 4 Char"/>
    <w:basedOn w:val="DefaultParagraphFont"/>
    <w:link w:val="Heading4"/>
    <w:locked/>
    <w:rsid w:val="00CB1536"/>
    <w:rPr>
      <w:lang w:val="da-DK" w:eastAsia="en-US" w:bidi="ar-SA"/>
    </w:rPr>
  </w:style>
  <w:style w:type="character" w:customStyle="1" w:styleId="Heading5Char">
    <w:name w:val="Heading 5 Char"/>
    <w:basedOn w:val="DefaultParagraphFont"/>
    <w:link w:val="Heading5"/>
    <w:locked/>
    <w:rsid w:val="00CB1536"/>
    <w:rPr>
      <w:lang w:val="da-DK" w:eastAsia="en-US" w:bidi="ar-SA"/>
    </w:rPr>
  </w:style>
  <w:style w:type="character" w:customStyle="1" w:styleId="Heading6Char">
    <w:name w:val="Heading 6 Char"/>
    <w:basedOn w:val="DefaultParagraphFont"/>
    <w:link w:val="Heading6"/>
    <w:locked/>
    <w:rsid w:val="00CB1536"/>
    <w:rPr>
      <w:lang w:val="da-DK" w:eastAsia="en-US" w:bidi="ar-SA"/>
    </w:rPr>
  </w:style>
  <w:style w:type="character" w:customStyle="1" w:styleId="Heading7Char">
    <w:name w:val="Heading 7 Char"/>
    <w:basedOn w:val="DefaultParagraphFont"/>
    <w:link w:val="Heading7"/>
    <w:locked/>
    <w:rsid w:val="00CB1536"/>
    <w:rPr>
      <w:lang w:val="da-DK" w:eastAsia="en-US" w:bidi="ar-SA"/>
    </w:rPr>
  </w:style>
  <w:style w:type="character" w:customStyle="1" w:styleId="Heading8Char">
    <w:name w:val="Heading 8 Char"/>
    <w:basedOn w:val="DefaultParagraphFont"/>
    <w:link w:val="Heading8"/>
    <w:locked/>
    <w:rsid w:val="00CB1536"/>
    <w:rPr>
      <w:lang w:val="da-DK" w:eastAsia="en-US" w:bidi="ar-SA"/>
    </w:rPr>
  </w:style>
  <w:style w:type="character" w:customStyle="1" w:styleId="Heading9Char">
    <w:name w:val="Heading 9 Char"/>
    <w:basedOn w:val="DefaultParagraphFont"/>
    <w:link w:val="Heading9"/>
    <w:locked/>
    <w:rsid w:val="00CB1536"/>
    <w:rPr>
      <w:lang w:val="da-DK"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da-D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gal-content/DA/TXT/?uri=CELEX:52016AE6895&amp;qid=1613735054011" TargetMode="External"/><Relationship Id="rId3" Type="http://schemas.openxmlformats.org/officeDocument/2006/relationships/hyperlink" Target="https://eur-lex.europa.eu/LexUriServ/LexUriServ.do?uri=OJ:C:2020:047:SOM:DA:HTML" TargetMode="External"/><Relationship Id="rId7" Type="http://schemas.openxmlformats.org/officeDocument/2006/relationships/hyperlink" Target="http://eur-lex.europa.eu/legal-content/DA/TXT/?uri=OJ:C:2020:429:TOC" TargetMode="External"/><Relationship Id="rId12" Type="http://schemas.openxmlformats.org/officeDocument/2006/relationships/hyperlink" Target="https://eur-lex.europa.eu/legal-content/DA/TXT/?uri=CELEX:52020AE3018&amp;qid=1615550202956" TargetMode="External"/><Relationship Id="rId2" Type="http://schemas.openxmlformats.org/officeDocument/2006/relationships/hyperlink" Target="https://eur-lex.europa.eu/legal-content/DA/TXT/?uri=CELEX:52020DC0950&amp;qid=1607524251598" TargetMode="External"/><Relationship Id="rId1" Type="http://schemas.openxmlformats.org/officeDocument/2006/relationships/hyperlink" Target="https://eur-lex.europa.eu/legal-content/DA/TXT/HTML/?uri=CELEX:52015DC0080&amp;from=EN" TargetMode="External"/><Relationship Id="rId6" Type="http://schemas.openxmlformats.org/officeDocument/2006/relationships/hyperlink" Target="https://eur-lex.europa.eu/legal-content/DA/TXT/HTML/?uri=CELEX:52015DC0080&amp;from=EN" TargetMode="External"/><Relationship Id="rId11" Type="http://schemas.openxmlformats.org/officeDocument/2006/relationships/hyperlink" Target="https://eur-lex.europa.eu/legal-content/DA/TXT/?qid=1613734912385&amp;uri=CELEX:52015AE5033" TargetMode="External"/><Relationship Id="rId5" Type="http://schemas.openxmlformats.org/officeDocument/2006/relationships/hyperlink" Target="http://eur-lex.europa.eu/legal-content/DA/TXT/?uri=OJ:C:2020:429:TOC" TargetMode="External"/><Relationship Id="rId10" Type="http://schemas.openxmlformats.org/officeDocument/2006/relationships/hyperlink" Target="https://eur-lex.europa.eu/legal-content/DA/TXT/?uri=uriserv:OJ.C_.2021.123.01.0022.01.DAN&amp;toc=OJ:C:2021:123:TOC" TargetMode="External"/><Relationship Id="rId4" Type="http://schemas.openxmlformats.org/officeDocument/2006/relationships/hyperlink" Target="http://eur-lex.europa.eu/legal-content/DA/TXT/?uri=OJ:C:2019:062:TOC" TargetMode="External"/><Relationship Id="rId9" Type="http://schemas.openxmlformats.org/officeDocument/2006/relationships/hyperlink" Target="https://eur-lex.europa.eu/legal-content/DA/TXT/?uri=uriserv:OJ.C_.2021.123.01.0030.01.DAN&amp;toc=OJ:C:2021:123:TOC" TargetMode="External"/><Relationship Id="rId14" Type="http://schemas.openxmlformats.org/officeDocument/2006/relationships/hyperlink" Target="https://eur-lex.europa.eu/legal-content/DA/TXT/?uri=CELEX:52016IE6805&amp;qid=1613735271622"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VV634QRNENMJ-592872750-7590</_dlc_DocId>
    <_dlc_DocIdUrl xmlns="cda99570-6012-4083-bfeb-7d32ad1ce1a3">
      <Url>http://dm2016/eesc/2020/_layouts/15/DocIdRedir.aspx?ID=VV634QRNENMJ-592872750-7590</Url>
      <Description>VV634QRNENMJ-592872750-7590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0305A9D-1049-481E-8ADC-86553FB670B8}"/>
</file>

<file path=customXml/itemProps2.xml><?xml version="1.0" encoding="utf-8"?>
<ds:datastoreItem xmlns:ds="http://schemas.openxmlformats.org/officeDocument/2006/customXml" ds:itemID="{A5F14C85-2E50-4A40-BDE1-352B5EA99027}"/>
</file>

<file path=customXml/itemProps3.xml><?xml version="1.0" encoding="utf-8"?>
<ds:datastoreItem xmlns:ds="http://schemas.openxmlformats.org/officeDocument/2006/customXml" ds:itemID="{C761C6DE-C9D1-43E9-96C3-FD32A0202549}"/>
</file>

<file path=customXml/itemProps4.xml><?xml version="1.0" encoding="utf-8"?>
<ds:datastoreItem xmlns:ds="http://schemas.openxmlformats.org/officeDocument/2006/customXml" ds:itemID="{4959F23D-9165-42ED-BC0E-E6E0E5364D79}"/>
</file>

<file path=docProps/app.xml><?xml version="1.0" encoding="utf-8"?>
<Properties xmlns="http://schemas.openxmlformats.org/officeDocument/2006/extended-properties" xmlns:vt="http://schemas.openxmlformats.org/officeDocument/2006/docPropsVTypes">
  <Template>Styles</Template>
  <TotalTime>19</TotalTime>
  <Pages>13</Pages>
  <Words>4942</Words>
  <Characters>28170</Characters>
  <Application>Microsoft Office Word</Application>
  <DocSecurity>0</DocSecurity>
  <Lines>234</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State of the Energy Union Report 2020 and Assessment of National Energy and Climate Plans</vt:lpstr>
      <vt:lpstr>European Agenda on Migration: Second implementation package - A permanent crisis relocation mechanism under the Dublin system</vt:lpstr>
    </vt:vector>
  </TitlesOfParts>
  <Company>CESE-CdR</Company>
  <LinksUpToDate>false</LinksUpToDate>
  <CharactersWithSpaces>33046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om status over energiunionen 2020 og vurdering af de nationale energi- og klimaplaner</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Vang Ulla</cp:lastModifiedBy>
  <cp:revision>9</cp:revision>
  <cp:lastPrinted>2016-07-15T09:51:00Z</cp:lastPrinted>
  <dcterms:created xsi:type="dcterms:W3CDTF">2021-04-20T14:46:00Z</dcterms:created>
  <dcterms:modified xsi:type="dcterms:W3CDTF">2021-04-21T13:27:00Z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20/04/2021, 31/03/2021, 12/03/2021, 24/02/2021, 19/02/2021, 20/01/2021, 10/12/2020, 28/09/2020, 14/09/2020, 04/11/2015, 27/10/2015, 19/10/2015, 09/10/2015, 05/10/2015, 05/10/2015, 26/08/2015, 26/08/2015, 25/08/2015</vt:lpwstr>
  </property>
  <property fmtid="{D5CDD505-2E9C-101B-9397-08002B2CF9AE}" pid="4" name="Pref_Time">
    <vt:lpwstr>16:46:17, 08:42:16, 16:22:40, 11:32:31, 16:55:47, 16:52:36, 08:54:49, 14:47:33, 13:56:52, 12:10:07, 14:44:02, 16:04:16, 14:09:30, 16:24:55, 16:04:02, 08:56:14, 07:27:56, 17:31:53</vt:lpwstr>
  </property>
  <property fmtid="{D5CDD505-2E9C-101B-9397-08002B2CF9AE}" pid="5" name="Pref_User">
    <vt:lpwstr>hnic, hnic, amett, enied, hnic, hnic, enied, hnic, mkop, ssex, enied, amett, tvoc, mreg, mreg, amett, enied, ssex</vt:lpwstr>
  </property>
  <property fmtid="{D5CDD505-2E9C-101B-9397-08002B2CF9AE}" pid="6" name="Pref_FileName">
    <vt:lpwstr>EESC-2020-04915-00-01-AC-ORI.docx, EESC-2020-04915-00-00-AC-ORI.docx, EESC-2020-04915-00-00-AS-TRA-EN-CRR.docx, EESC-2020-04915-00-01-PA-ORI.docx, EESC-2020-04915-00-00-PA-TRA-DE-CRR.docx, EESC-2020-04915-00-00-APA-TRA-DE-CRR.docx, EESC-2020-04915-00-00-D</vt:lpwstr>
  </property>
  <property fmtid="{D5CDD505-2E9C-101B-9397-08002B2CF9AE}" pid="7" name="ContentTypeId">
    <vt:lpwstr>0x010100EA97B91038054C99906057A708A1480A00B2B329A7DAC4C144A75447C3256C027E</vt:lpwstr>
  </property>
  <property fmtid="{D5CDD505-2E9C-101B-9397-08002B2CF9AE}" pid="8" name="_dlc_DocIdItemGuid">
    <vt:lpwstr>a34db5ee-45c9-48ac-90d0-8bbefd0e8d36</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ET|ff6c3f4c-b02c-4c3c-ab07-2c37995a7a0a;SK|46d9fce0-ef79-4f71-b89b-cd6aa82426b8;EL|6d4f4d51-af9b-4650-94b4-4276bee85c91;DE|f6b31e5a-26fa-4935-b661-318e46daf27e;PT|50ccc04a-eadd-42ae-a0cb-acaf45f812ba;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29;#PT|50ccc04a-eadd-42ae-a0cb-acaf45f812ba;#28;#TEN|5e12260d-3aca-41f8-baf2-ad3d18475f10;#38;#EL|6d4f4d51-af9b-4650-94b4-4276bee85c91;#16;#ES|e7a6b05b-ae16-40c8-add9-68b64b03aeba;#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47;#ET|ff6c3f4c-b02c-4c3c-ab07-2c37995a7a0a</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32;#DA|5d49c027-8956-412b-aa16-e85a0f96ad0e</vt:lpwstr>
  </property>
  <property fmtid="{D5CDD505-2E9C-101B-9397-08002B2CF9AE}" pid="39" name="_docset_NoMedatataSyncRequired">
    <vt:lpwstr>False</vt:lpwstr>
  </property>
</Properties>
</file>