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3958F0" w14:paraId="5B3BE56A" w14:textId="5B2CA2C4">
      <w:pPr>
        <w:jc w:val="center"/>
      </w:pPr>
      <w:bookmarkStart w:name="_GoBack" w:id="0"/>
      <w:bookmarkEnd w:id="0"/>
      <w:r>
        <w:rPr>
          <w:noProof/>
          <w:lang w:val="en-US"/>
        </w:rPr>
        <w:drawing>
          <wp:inline distT="0" distB="0" distL="0" distR="0" wp14:anchorId="6E893C72" wp14:editId="471DF937">
            <wp:extent cx="1792605" cy="1241425"/>
            <wp:effectExtent l="0" t="0" r="0" b="0"/>
            <wp:docPr id="1" name="Picture 1" title="EESC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5A6D203A"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EL</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3FD6F03D">
      <w:pPr>
        <w:jc w:val="right"/>
      </w:pPr>
      <w:r>
        <w:rPr>
          <w:b/>
        </w:rPr>
        <w:t>Έκθεση του 2020 σχετικά με την κατάσταση της Ενεργειακής Ένωσης και Αξιολόγηση των εθνικών σχεδίων για την ενέργεια και το κλίμα</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rPr>
          <w:b/>
          <w:sz w:val="28"/>
        </w:rPr>
        <w:t>ΓΝΩΜΟΔΟΤΗΣΗ</w:t>
      </w:r>
      <w:r>
        <w:br/>
      </w:r>
      <w:r>
        <w:br/>
        <w:t>Ευρωπαϊκή Οικονομική και Κοινωνική Επιτροπή</w:t>
      </w:r>
      <w:r>
        <w:br/>
      </w:r>
      <w:r>
        <w:br/>
      </w:r>
      <w:r>
        <w:rPr>
          <w:b/>
        </w:rPr>
        <w:t>Έκθεση της Επιτροπής προς το Ευρωπαϊκό Κοινοβούλιο, το Συμβούλιο, την Ευρωπαϊκή Οικονομική και Κοινωνική Επιτροπή και την Επιτροπή των Περιφερειών – Έκθεση του 2020 σχετικά με την κατάσταση της Ενεργειακής Ένωσης σύμφωνα με τον κανονισμό (ΕΕ) 2018/1999 για την διακυβέρνηση της Ενεργειακής Ένωσης και της Δράσης για το κλίμα</w:t>
      </w:r>
    </w:p>
    <w:p w:rsidR="00987A80" w:rsidP="00FE7A9F" w:rsidRDefault="00FE7A9F" w14:paraId="7F5985E8" w14:textId="61FE7B26">
      <w:pPr>
        <w:jc w:val="center"/>
      </w:pPr>
      <w:r>
        <w:t xml:space="preserve">και </w:t>
      </w:r>
      <w:r>
        <w:br/>
      </w:r>
      <w:r>
        <w:rPr>
          <w:b/>
        </w:rPr>
        <w:t>Ανακοίνωση της Επιτροπής προς το Ευρωπαϊκό Κοινοβούλιο, το Συμβούλιο, την Ευρωπαϊκή Οικονομική και Κοινωνική Επιτροπή και την Επιτροπή των Περιφερειών – Μια αξιολόγηση σε επίπεδο ΕΕ των εθνικών σχεδίων για την ενέργεια και το κλίμα: Τόνωση της πράσινης μετάβασης και προώθηση της οικονομικής ανάκαμψης μέσω ενοποιημένου σχεδιασμού για την ενέργεια και το κλίμα</w:t>
      </w:r>
      <w:r>
        <w:b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Εισηγητής: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E1661D">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Αιτήσεις γνωμοδότησης </w:t>
            </w:r>
          </w:p>
        </w:tc>
        <w:tc>
          <w:tcPr>
            <w:tcW w:w="4962" w:type="dxa"/>
          </w:tcPr>
          <w:p w:rsidRPr="00DC308B" w:rsidR="0011656A" w:rsidRDefault="00E271C6" w14:paraId="5B3BE5A5" w14:textId="57DECFAF">
            <w:pPr>
              <w:jc w:val="left"/>
            </w:pPr>
            <w:r>
              <w:t>Ευρωπαϊκή Επιτροπή, 11/11/2020 και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Νομική βάση</w:t>
            </w:r>
          </w:p>
        </w:tc>
        <w:tc>
          <w:tcPr>
            <w:tcW w:w="4962" w:type="dxa"/>
          </w:tcPr>
          <w:p w:rsidRPr="00DC308B" w:rsidR="0016503F" w:rsidP="00DC308B" w:rsidRDefault="0016503F" w14:paraId="5B3BE5A8" w14:textId="3C895295">
            <w:r>
              <w:t>Άρθρο 304 της Συνθήκης για τη λειτουργία της Ευρωπαϊκής Ένωσης.</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Αρμόδιο όργανο</w:t>
            </w:r>
          </w:p>
        </w:tc>
        <w:tc>
          <w:tcPr>
            <w:tcW w:w="4962" w:type="dxa"/>
          </w:tcPr>
          <w:p w:rsidRPr="00DC308B" w:rsidR="00DF5B64" w:rsidP="00DC308B" w:rsidRDefault="004B717F" w14:paraId="5B3BE5C3" w14:textId="6AE91C48">
            <w:r>
              <w:t xml:space="preserve">Τμήμα «Μεταφορές, ενέργεια, υποδομές, κοινωνία των πληροφοριών» </w:t>
            </w:r>
          </w:p>
        </w:tc>
      </w:tr>
      <w:tr w:rsidRPr="00DC308B" w:rsidR="00A156E6" w:rsidTr="006A16D7" w14:paraId="5B3BE5C7" w14:textId="77777777">
        <w:tc>
          <w:tcPr>
            <w:tcW w:w="4111" w:type="dxa"/>
          </w:tcPr>
          <w:p w:rsidRPr="00DC308B" w:rsidR="00A156E6" w:rsidP="00BC3F01" w:rsidRDefault="00A156E6" w14:paraId="5B3BE5C5" w14:textId="77777777">
            <w:pPr>
              <w:jc w:val="left"/>
            </w:pPr>
            <w:r>
              <w:t>Έγκριση από το τμήμα</w:t>
            </w:r>
          </w:p>
        </w:tc>
        <w:tc>
          <w:tcPr>
            <w:tcW w:w="4962" w:type="dxa"/>
          </w:tcPr>
          <w:p w:rsidRPr="00DC308B" w:rsidR="00A156E6" w:rsidRDefault="00DC311E" w14:paraId="5B3BE5C6" w14:textId="0DE01FEF">
            <w:pPr>
              <w:jc w:val="left"/>
            </w:pPr>
            <w:r>
              <w:t>9/3/2021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Έγκριση από την Ολομέλεια</w:t>
            </w:r>
          </w:p>
        </w:tc>
        <w:tc>
          <w:tcPr>
            <w:tcW w:w="4962" w:type="dxa"/>
          </w:tcPr>
          <w:p w:rsidRPr="00DC308B" w:rsidR="00A156E6" w:rsidP="00F93170" w:rsidRDefault="00DC311E" w14:paraId="5B3BE5C9" w14:textId="1D02175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Σύνοδος ολομέλειας αριθ.</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t>Αποτέλεσμα της ψηφοφορίας</w:t>
            </w:r>
            <w:r>
              <w:br/>
              <w:t>(υπέρ/κατά/αποχές)</w:t>
            </w:r>
          </w:p>
        </w:tc>
        <w:tc>
          <w:tcPr>
            <w:tcW w:w="4962" w:type="dxa"/>
            <w:vAlign w:val="bottom"/>
          </w:tcPr>
          <w:p w:rsidRPr="00DC308B" w:rsidR="00A156E6" w:rsidP="002524D5" w:rsidRDefault="00F93170" w14:paraId="5B3BE5CF" w14:textId="4AD1C055">
            <w:pPr>
              <w:jc w:val="left"/>
            </w:pPr>
            <w:r>
              <w:t>236/4/6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Συμπεράσματα και συστάσεις</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Η Ευρωπαϊκή Οικονομική και Κοινωνική Επιτροπή (ΕΟΚΕ) έχει εντυπωσιαστεί από την ακρίβεια της τεκμηρίωσης και της αξιολόγησης της πορείας της Ενεργειακής Ένωσης από την Επιτροπή. Ο τρόπος κατάρτισης και αξιολόγησης των εθνικών σχεδίων για την ενέργεια και το κλίμα (ΕΣΕΚ) καταδεικνύει ότι η διακυβέρνηση της Ενεργειακής Ένωσης λειτουργεί. </w:t>
      </w:r>
    </w:p>
    <w:p w:rsidRPr="00DC308B" w:rsidR="00896899" w:rsidP="00896899" w:rsidRDefault="00896899" w14:paraId="5F75B2B9" w14:textId="77777777"/>
    <w:p w:rsidRPr="00DC308B" w:rsidR="00896899" w:rsidP="00896899" w:rsidRDefault="00896899" w14:paraId="4156466A" w14:textId="0B8171EA">
      <w:pPr>
        <w:pStyle w:val="Heading2"/>
      </w:pPr>
      <w:r>
        <w:t>Η ΕΟΚΕ διαπιστώνει με ανακούφιση ότι —αν και είναι σαφές ότι ορισμένα κράτη μέλη υπολείπονται σημαντικά της επίτευξης των στόχων— σε γενικές γραμμές, οι στόχοι για την ενέργεια και το κλίμα για το 2020 έχουν επιτευχθεί. Αυτό, ωστόσο, δεν πρέπει να προκαλέσει ικανοποίηση. Οι στόχοι για τα επόμενα 30 έτη, αρχής γενομένης από τη δεκαετία του 2020, είναι σαφώς περισσότερο φιλόδοξοι. Ο ρυθμός μετασχηματισμού πρέπει να αυξηθεί σημαντικά χωρίς όμως να λησμονείται η κοινωνική και η οικονομική κατάσταση κάθε κράτους μέλους. Ειδάλλως, διακυβεύεται η κοινωνική αποδοχή των επενδύσεων και των μεταρρυθμίσεων που αποσκοπούν στην επιτάχυνση της ενεργειακής μετάβασης. Ο ενεργειακός μετασχηματισμός τίθεται επίσης σε κίνδυνο, όταν η πολιτική υπόσχεται τη συμμετοχή μεγάλων τμημάτων της κοινωνίας, αλλά στην πραγματικότητα δεν λαμβάνει σοβαρά υπόψη αυτήν την υπόσχεση και δεν την υλοποιεί.</w:t>
      </w:r>
    </w:p>
    <w:p w:rsidRPr="00DC308B" w:rsidR="00896899" w:rsidP="00896899" w:rsidRDefault="00896899" w14:paraId="25D816DE" w14:textId="77777777"/>
    <w:p w:rsidRPr="00DC308B" w:rsidR="00896899" w:rsidP="00896899" w:rsidRDefault="00896899" w14:paraId="6DF20BA0" w14:textId="7CBCBB67">
      <w:pPr>
        <w:pStyle w:val="Heading2"/>
      </w:pPr>
      <w:r>
        <w:t>Ακόμα πιο σημαντικό είναι να μην λαμβάνονται υπόψη μόνον οι γενικοί αλλά και οι ειδικοί στόχοι (για το κλίμα) που έχει ορίσει η ίδια η Επιτροπή με τη στρατηγική πλαίσιο για μια ανθεκτική Ενεργειακή Ένωση και με τη δέσμη μέτρων «Καθαρή ενέργεια για όλους τους Ευρωπαίους». Εν προκειμένω, τα αποτελέσματα είναι πολύ πιο αρνητικά.</w:t>
      </w:r>
    </w:p>
    <w:p w:rsidRPr="00DC308B" w:rsidR="00896899" w:rsidP="00896899" w:rsidRDefault="00896899" w14:paraId="79B4F62D" w14:textId="77777777"/>
    <w:p w:rsidRPr="00DC308B" w:rsidR="00896899" w:rsidP="00896899" w:rsidRDefault="00896899" w14:paraId="2E5522B2" w14:textId="2F4C4DAA">
      <w:pPr>
        <w:pStyle w:val="Heading2"/>
      </w:pPr>
      <w:r>
        <w:t>Ως σημαντικότερο στόχο, η Επιτροπή όρισε στη στρατηγική πλαίσιο ότι στο επίκεντρο της Ενεργειακής Ένωσης θα πρέπει να βρίσκονται οι πολίτες. Στην ανακοίνωσή της σχετικά με την κατάσταση της Ενεργειακής Ένωσης, η Επιτροπή δεν αναφέρει πουθενά πώς θα επιτευχθεί αυτός ο στόχος και ποιες στρατηγικές θα πρέπει να ακολουθηθούν στο μέλλον για την επίτευξή του. Αυτό είναι απολύτως απαράδεκτο, κατά τη γνώμη της ΕΟΚΕ.</w:t>
      </w:r>
    </w:p>
    <w:p w:rsidRPr="00DC308B" w:rsidR="00896899" w:rsidP="00896899" w:rsidRDefault="00896899" w14:paraId="1320D45E" w14:textId="77777777"/>
    <w:p w:rsidRPr="00DC308B" w:rsidR="00896899" w:rsidP="00896899" w:rsidRDefault="00896899" w14:paraId="6D7FDB7C" w14:textId="20141ACE">
      <w:pPr>
        <w:pStyle w:val="Heading2"/>
      </w:pPr>
      <w:r>
        <w:t>Κατά την αξιολόγηση των ΕΣΕΚ, η Επιτροπή είναι της άποψης ότι, στα ΕΣΕΚ των κρατών μελών δίδεται ελάχιστη προσοχή στην ανάπτυξη της ιδιοπαραγόμενης ενέργειας. Αυτό προκαλεί ανησυχία. Ωστόσο, το γεγονός ότι η Επιτροπή περιορίζεται εν προκειμένω στο να απευθύνει μια πολύ γενική έκκληση προς τα κράτη μέλη είναι απογοητευτικό. Εάν οι φιλόδοξοι στόχοι, όπως αυτοί διατυπώνονται στη δέσμη μέτρων «Καθαρή ενέργεια για όλους τους Ευρωπαίους» και στη στρατηγική πλαίσιο για την Ενεργειακή Ένωση, δεν επιδιώκονται με συνέπεια, δεν ζημιώνεται μόνον η Ενεργειακή Ένωση. Διακυβεύεται επίσης η αξιοπιστία του συνόλου της ευρωπαϊκής πολιτικής.</w:t>
      </w:r>
    </w:p>
    <w:p w:rsidRPr="00DC308B" w:rsidR="00896899" w:rsidP="00896899" w:rsidRDefault="00896899" w14:paraId="5D140CDF" w14:textId="77777777"/>
    <w:p w:rsidRPr="00DC308B" w:rsidR="00896899" w:rsidP="00896899" w:rsidRDefault="00896899" w14:paraId="653EA558" w14:textId="77777777">
      <w:pPr>
        <w:pStyle w:val="Heading2"/>
      </w:pPr>
      <w:r>
        <w:t>Ως εκ τούτου, η ΕΟΚΕ θεωρεί αναγκαίο να εξετάσει περαιτέρω η Επιτροπή σε μελλοντικές εκθέσεις τον βαθμό και την ποιότητα της μεταφοράς στο εθνικό δίκαιο, της τήρησης και της εφαρμογής της τρίτης δέσμης μέτρων για την ενέργεια στα κράτη μέλη, ιδίως αναφορικά με τον τρόπο με τον οποίο οι πολίτες θα τεθούν στο επίκεντρο. Στο παρελθόν, η μεταφορά των διατάξεων στον τομέα της ενέργειας στο εθνικό δίκαιο είχε σημειώσει καθυστέρηση και συχνά δεν ήταν προς όφελος των πολιτών.</w:t>
      </w:r>
    </w:p>
    <w:p w:rsidRPr="00DC308B" w:rsidR="00896899" w:rsidP="00896899" w:rsidRDefault="00896899" w14:paraId="2F5A151C" w14:textId="77777777"/>
    <w:p w:rsidRPr="00DC308B" w:rsidR="00011D33" w:rsidP="00896899" w:rsidRDefault="00896899" w14:paraId="5B3BE5D5" w14:textId="36611608">
      <w:pPr>
        <w:pStyle w:val="Heading2"/>
      </w:pPr>
      <w:r>
        <w:lastRenderedPageBreak/>
        <w:t>Τρεις περαιτέρω στόχοι της Ενεργειακής Ένωσης θα πρέπει να εξεταστούν υπό ένα κριτικό πρίσμα: ο περιορισμός της ενεργειακής εξάρτησης μέσω της μείωσης των εισαγωγών ενέργειας, η κατάργηση των επιδοτήσεων για τους ζημιογόνους για το κλίμα και το περιβάλλον φορείς ενέργειας και η ανάληψη ηγετικού ρόλου στον τομέα των ανανεώσιμων πηγών ενέργειας, της ενεργειακής απόδοσης και της ηλεκτροκίνησης. Κανένας από αυτούς τους τρεις στόχους δεν στέφθηκε με επιτυχία, όπως απορρέει από τις ανακοινώσεις της Επιτροπής. Ωστόσο, δεν γίνεται καμία αναφορά στις αιτίες αυτής της αδυναμίας επίτευξης. Επιπλέον, μάταια αναζητούνται δηλώσεις σχετικά με τα διδάγματα που μπορούν να αντληθούν από τις αποτυχίες και τη συνέχεια που μπορεί να δοθεί, π.χ. στην περίπτωση του Ευρωπαϊκού Ταμείου Ανάκαμψης.</w:t>
      </w:r>
    </w:p>
    <w:p w:rsidRPr="00DC308B" w:rsidR="00896899" w:rsidP="0092523D" w:rsidRDefault="00896899" w14:paraId="7184AFC6" w14:textId="1CEB306D"/>
    <w:p w:rsidRPr="00DC308B" w:rsidR="000D6859" w:rsidP="00C146D8" w:rsidRDefault="000D6859" w14:paraId="05AD93C1" w14:textId="45970174">
      <w:pPr>
        <w:pStyle w:val="Heading2"/>
      </w:pPr>
      <w:r>
        <w:t>Η ΕΟΚΕ θεωρεί ότι τα ΕΣΕΚ των κρατών μελών παρουσιάζουν έλλειψη συνοχής στον τομέα της ευρωπαϊκής ενεργειακής πολιτικής. Επιπλέον, η ΕΟΚΕ πιστεύει ότι τα περισσότερα ΕΣΕΚ είναι υπερβολικά ασαφή, ιδίως σε ό,τι αφορά τα σημαντικά ζητήματα της ενεργειακής ασφάλειας και της δίκαιης μετάβασης.</w:t>
      </w:r>
    </w:p>
    <w:p w:rsidRPr="00DC308B" w:rsidR="000D6859" w:rsidP="0092523D" w:rsidRDefault="000D6859" w14:paraId="6478A707" w14:textId="77777777"/>
    <w:p w:rsidRPr="00DC308B" w:rsidR="00896899" w:rsidP="00DC308B" w:rsidRDefault="00896899" w14:paraId="46D924C6" w14:textId="25A0851C">
      <w:pPr>
        <w:pStyle w:val="Heading2"/>
        <w:keepNext/>
      </w:pPr>
      <w:r>
        <w:t>Η ΕΟΚΕ καλεί, ως εκ τούτου, την Επιτροπή να δώσει μεγαλύτερη προσοχή κατά την αξιολόγηση των ΕΣΕΚ στην καταλληλότητα των στρατηγικών για μια δίκαιη μετάβαση, ιδίως όσον αφορά την επίτευξη των ακόλουθων στόχων:</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διευκόλυνση των μεταβάσεων στην απασχόληση,</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στήριξη των εργαζομένων που χάνουν τη θέση εργασίας τους εξαιτίας της απανθρακοποίησης (μια χαμένη θέση εργασίας θα έπρεπε να αντικαθίσταται από μία άλλη, τουλάχιστον ίσης αξίας),</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καταπολέμηση της ενεργειακής φτώχειας, καθώς και της αντιστάθμισης των φθινουσών διανεμητικών επιπτώσεων και</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ανάπτυξη του δυναμικού της περιφερειακής οικονομίας που προκύπτει από ανανεώσιμες πηγές ενέργειας και νέες μορφές συμμετοχής στην παραγωγή ηλεκτρικής ενέργειας.</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Γενικές παρατηρήσεις σχετικά με τα έγγραφα της Επιτροπής</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Στις 25 Φεβρουαρίου 2015, η Επιτροπή παρουσίασε την ανακοίνωση με τίτλο «Στρατηγική πλαίσιο για μια ανθεκτική Ενεργειακή Ένωση με μακρόπνοη πολιτική για την κλιματική αλλαγή»</w:t>
      </w:r>
      <w:r w:rsidRPr="00DC308B">
        <w:rPr>
          <w:sz w:val="24"/>
          <w:szCs w:val="24"/>
          <w:vertAlign w:val="superscript"/>
        </w:rPr>
        <w:footnoteReference w:id="1"/>
      </w:r>
      <w:r>
        <w:t xml:space="preserve">. Η εν λόγω στρατηγική εστιαζόταν στους ακόλουθους στόχους: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ενεργειακή ασφάλεια, μεταξύ άλλων μέσω μείωσης της εξάρτησης από εισαγωγές ενέργειας·</w:t>
      </w:r>
    </w:p>
    <w:p w:rsidRPr="00DC308B" w:rsidR="00DF21DA" w:rsidP="00646DA7" w:rsidRDefault="00DF21DA" w14:paraId="1A7661D5" w14:textId="369773CF">
      <w:pPr>
        <w:pStyle w:val="Heading2"/>
        <w:numPr>
          <w:ilvl w:val="0"/>
          <w:numId w:val="42"/>
        </w:numPr>
        <w:ind w:left="927"/>
      </w:pPr>
      <w:r>
        <w:t>μια πλήρως ενοποιημένη ευρωπαϊκή αγορά ενέργειας·</w:t>
      </w:r>
    </w:p>
    <w:p w:rsidRPr="00DC308B" w:rsidR="00DF21DA" w:rsidP="00646DA7" w:rsidRDefault="00DF21DA" w14:paraId="4A93F03C" w14:textId="77777777">
      <w:pPr>
        <w:pStyle w:val="Heading2"/>
        <w:numPr>
          <w:ilvl w:val="0"/>
          <w:numId w:val="42"/>
        </w:numPr>
        <w:ind w:left="927"/>
      </w:pPr>
      <w:r>
        <w:t xml:space="preserve">βιώσιμη και φιλική προς το κλίμα οικονομία με χαμηλές εκπομπές διοξειδίου του άνθρακα· </w:t>
      </w:r>
    </w:p>
    <w:p w:rsidRPr="00DC308B" w:rsidR="00DF21DA" w:rsidP="00646DA7" w:rsidRDefault="00DF21DA" w14:paraId="28740F0E" w14:textId="38817C2B">
      <w:pPr>
        <w:pStyle w:val="Heading2"/>
        <w:numPr>
          <w:ilvl w:val="0"/>
          <w:numId w:val="42"/>
        </w:numPr>
        <w:ind w:left="927"/>
      </w:pPr>
      <w:r>
        <w:t>έρευνα, καινοτομία και ανταγωνιστικότητα, ώστε η Ευρώπη να μπορέσει να αποκτήσει ηγετική θέση σε παγκόσμιο επίπεδο στον τομέα των ανανεώσιμων πηγών ενέργειας·</w:t>
      </w:r>
    </w:p>
    <w:p w:rsidRPr="00DC308B" w:rsidR="00DF21DA" w:rsidP="00646DA7" w:rsidRDefault="00DF21DA" w14:paraId="07725D16" w14:textId="1E57AFBF">
      <w:pPr>
        <w:pStyle w:val="Heading2"/>
        <w:numPr>
          <w:ilvl w:val="0"/>
          <w:numId w:val="42"/>
        </w:numPr>
        <w:ind w:left="927"/>
      </w:pPr>
      <w:r>
        <w:t>απόκτηση δεξιοτήτων από τους Ευρωπαίους εργαζόμενους για το ενεργειακό σύστημα του μέλλοντος·</w:t>
      </w:r>
    </w:p>
    <w:p w:rsidRPr="00DC308B" w:rsidR="00345823" w:rsidP="00646DA7" w:rsidRDefault="00DF21DA" w14:paraId="08497E97" w14:textId="4969D608">
      <w:pPr>
        <w:pStyle w:val="Heading2"/>
        <w:numPr>
          <w:ilvl w:val="0"/>
          <w:numId w:val="42"/>
        </w:numPr>
        <w:ind w:left="927"/>
      </w:pPr>
      <w:r>
        <w:lastRenderedPageBreak/>
        <w:t>εμπιστοσύνη των επενδυτών μέσω μηνυμάτων όσον αφορά τις τιμές που αποτυπώνουν μακροπρόθεσμες ανάγκες και στόχους πολιτικής.</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Ωστόσο, το σημαντικότερο, όπως ανέφερε η Επιτροπή, όραμά της είναι μια Ενεργειακή Ένωση «η οποία θέτει τους πολίτες στο επίκεντρό της, στην οποία οι πολίτες αναλαμβάνουν την ευθύνη για την ενεργειακή μετάβαση, επωφελούνται από τις νέες τεχνολογίες για να μειώσουν τους λογαριασμούς τους, συμμετέχουν ενεργά στην αγορά, και στην οποία προστατεύονται οι ευάλωτοι καταναλωτές». Ακόμα, η Επιτροπή έθεσε τη συμμετοχή των ενδιαφερόμενων μερών στη διαμόρφωση της Ενεργειακής Ένωσης ως προτεραιότητα και όρισε την κοινωνικά δίκαιη μετάβαση ως βασική αρχή για την αντιμετώπιση της ενεργειακής μετάβασης.</w:t>
      </w:r>
    </w:p>
    <w:p w:rsidRPr="00DC308B" w:rsidR="00DF21DA" w:rsidP="00DF21DA" w:rsidRDefault="00DF21DA" w14:paraId="5B16D218" w14:textId="4D5BD312"/>
    <w:p w:rsidRPr="00DC308B" w:rsidR="00DF21DA" w:rsidP="00DF21DA" w:rsidRDefault="00DF21DA" w14:paraId="56BD3DDE" w14:textId="2D33C6F4">
      <w:pPr>
        <w:pStyle w:val="Heading2"/>
      </w:pPr>
      <w:r>
        <w:t>Επιπλέον, η Επιτροπή τόνισε την ανάγκη για ολοκληρωμένη διακυβέρνηση και παρακολούθηση της Ενεργειακής Ένωσης. Με τον κανονισμό για τη διακυβέρνηση (ΕΕ) 2018/1999, η ΕΕ παρείχε την κατάλληλη νομική βάση εν προκειμένω. Σύμφωνα με τον εν λόγω κανονισμό, τα κράτη μέλη υποχρεούνται να υποβάλλουν τακτικά εθνικά σχέδια για την ενέργεια και το κλίμα (ΕΣΕΚ), στα οποία οφείλουν να περιγράφουν μεταξύ άλλων και τις συνεισφορές τους για την επίτευξη των στόχων της Ενεργειακής Ένωσης.</w:t>
      </w:r>
    </w:p>
    <w:p w:rsidRPr="00DC308B" w:rsidR="00DF21DA" w:rsidP="00DF21DA" w:rsidRDefault="00DF21DA" w14:paraId="79E74D5B" w14:textId="3AE94FE3"/>
    <w:p w:rsidRPr="00DC308B" w:rsidR="00DF21DA" w:rsidP="00DC308B" w:rsidRDefault="00DF21DA" w14:paraId="67165668" w14:textId="32DA7C3F">
      <w:pPr>
        <w:pStyle w:val="Heading2"/>
        <w:keepNext/>
      </w:pPr>
      <w:r>
        <w:t>Στην έκθεσή της σχετικά με την κατάσταση της Ενεργειακής Ένωσης το 2020, η Επιτροπή αναφέρεται τώρα στην πρόοδο που έχει σημειωθεί και την παραθέτει υπό πέντε τίτλους:</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απανθρακοποίηση (συμπεριλαμβανομένης της επέκτασης των ανανεώσιμων πηγών ενέργειας)·</w:t>
      </w:r>
    </w:p>
    <w:p w:rsidRPr="00DC308B" w:rsidR="00DF21DA" w:rsidP="00DC308B" w:rsidRDefault="00DF21DA" w14:paraId="23472811" w14:textId="33F90B19">
      <w:pPr>
        <w:numPr>
          <w:ilvl w:val="0"/>
          <w:numId w:val="43"/>
        </w:numPr>
        <w:ind w:left="936" w:hanging="369"/>
      </w:pPr>
      <w:r>
        <w:t>ενεργειακή απόδοση, λαμβάνοντας ιδίως υπόψη την αρχή της «προτεραιότητας στην ενεργειακή απόδοση»·</w:t>
      </w:r>
    </w:p>
    <w:p w:rsidRPr="00DC308B" w:rsidR="00DF21DA" w:rsidP="00DC308B" w:rsidRDefault="00DF21DA" w14:paraId="7BD8DFDA" w14:textId="1148932F">
      <w:pPr>
        <w:numPr>
          <w:ilvl w:val="0"/>
          <w:numId w:val="43"/>
        </w:numPr>
        <w:ind w:left="936" w:hanging="369"/>
      </w:pPr>
      <w:r>
        <w:t xml:space="preserve">ενεργειακή ασφάλεια (συμπεριλαμβανομένης της μείωσης των εισαγωγών ενέργειας στην ΕΕ, της αύξησης της ευελιξίας και της μεγαλύτερης ανθεκτικότητας των εθνικών ενεργειακών συστημάτων)· </w:t>
      </w:r>
    </w:p>
    <w:p w:rsidRPr="00DC308B" w:rsidR="00DF21DA" w:rsidP="00DC308B" w:rsidRDefault="00DF21DA" w14:paraId="4A109991" w14:textId="3240ECB1">
      <w:pPr>
        <w:numPr>
          <w:ilvl w:val="0"/>
          <w:numId w:val="43"/>
        </w:numPr>
        <w:ind w:left="936" w:hanging="369"/>
      </w:pPr>
      <w:r>
        <w:t>εσωτερική αγορά ενέργειας·</w:t>
      </w:r>
    </w:p>
    <w:p w:rsidRPr="00DC308B" w:rsidR="00DF21DA" w:rsidP="00DC308B" w:rsidRDefault="00DF21DA" w14:paraId="79E034C0" w14:textId="70A87CB7">
      <w:pPr>
        <w:numPr>
          <w:ilvl w:val="0"/>
          <w:numId w:val="43"/>
        </w:numPr>
        <w:ind w:left="936" w:hanging="369"/>
      </w:pPr>
      <w:r>
        <w:t>έρευνα, καινοτομία και ανταγωνιστικότητα.</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Αναφέρεται επίσης στο θέμα «Η Ενεργειακή Ένωση σε μια ευρύτερη προοπτική της Ευρωπαϊκής Πράσινης Συμφωνίας».</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Στη βάση αυτή, η Επιτροπή παραθέτει ορισμένες παρατηρήσεις σχετικά με την «Επιδίωξη της πράσινης ανάκαμψης και της βιώσιμης οικονομίας». Εν προκειμένω, αναφέρεται αρχικά στις υπάρχουσες στρατηγικές για την ενοποίηση του ενεργειακού συστήματος και την εξάπλωση του υδρογόνου στην Ευρώπη.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 xml:space="preserve">Επιπλέον, η Επιτροπή επισημαίνει την ανάγκη αύξησης του στόχου μείωσης των εκπομπών διοξειδίου του άνθρακα σε τουλάχιστον 55% σε σύγκριση με τα επίπεδα του 1990 και εξαγγέλλει στρατηγική για τη μείωση των εκπομπών μεθανίου καθώς και ένα όραμα για την υπεράκτια ενέργεια. Εν προκειμένω, ασκεί κριτική στις στρατηγικές που υποβλήθηκαν από τα κράτη μέλη στο πλαίσιο των ΕΣΕΚ, τις οποίες χαρακτηρίζει συχνά ασαφείς και καθόλου συγκεκριμένες.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Συνολικά, η Επιτροπή χαρακτηρίζει την κατάσταση μη ικανοποιητική, αν και διαπιστώνεται ότι σε ολόκληρη την ΕΕ οι στόχοι για το 2020 όσον αφορά την επέκταση των ανανεώσιμων πηγών ενέργειας έχουν επιτευχθεί σε μεγάλο βαθμό. Ορισμένα κράτη μέλη θα έπρεπε να έχουν σημειώσει ακόμα «μεγαλύτερη πρόοδο».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Ζητεί δε να καταβληθούν περισσότερες προσπάθειες στον τομέα της ενεργειακής απόδοσης· διαπιστώνονται μεγάλες ελλείψεις, ιδίως όσον αφορά την ανακαίνιση των κτιρίων.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Η έκθεση συνοδεύεται, για πρώτη φορά, από λεπτομερή ανάλυση των επιδοτήσεων ενέργειας</w:t>
      </w:r>
      <w:r w:rsidRPr="00DC308B" w:rsidR="00CA11FD">
        <w:rPr>
          <w:color w:val="0000FF"/>
          <w:sz w:val="24"/>
          <w:szCs w:val="24"/>
          <w:u w:val="single"/>
          <w:vertAlign w:val="superscript"/>
        </w:rPr>
        <w:footnoteReference w:id="2"/>
      </w:r>
      <w:r>
        <w:t>, στην οποία διαπιστώνεται σαφώς ότι: α) εξακολουθούν να απαιτούνται ακόμα καλύτερα δεδομένα σχετικά με τις επιδοτήσεις ενέργειας</w:t>
      </w:r>
      <w:r w:rsidRPr="00DC308B">
        <w:rPr>
          <w:sz w:val="24"/>
          <w:szCs w:val="24"/>
          <w:vertAlign w:val="superscript"/>
        </w:rPr>
        <w:footnoteReference w:id="3"/>
      </w:r>
      <w:r>
        <w:t xml:space="preserve"> και β) υπάρχει «σαφής ανάγκη κλιμάκωσης των προσπαθειών» για τη μείωση των επιδοτήσεων για τα ορυκτά καύσιμα. Τα νομικά μέσα που υπάρχουν επί του παρόντος σε επίπεδο ΕΕ χαρακτηρίζονται ανεπαρκή.</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Ακόμα, χαρακτηρίζεται μη ενθαρρυντικό το γεγονός ότι τα τελευταία χρόνια στην ΕΕ των 27 επενδύονται ολοένα λιγότεροι πόροι για Ε&amp;Α στον τομέα αυτόν και ότι η Ευρώπη παρουσιάζει τεράστια υστέρηση σε σύγκριση με άλλες οικονομικές περιφέρειες. Η Επιτροπή ανακοινώνει ότι θα καταβληθούν προσπάθειες για παράδειγμα στους τομείς των συστημάτων αποθήκευσης συσσωρευτών και του υδρογόνου, για την αναζωογόνηση της έρευνας και των καινοτομιών και για την αντιμετώπιση της υστέρησης αναφορικά με τις επενδύσεις που διαπιστώνεται σε εθνικό επίπεδο.</w:t>
      </w:r>
    </w:p>
    <w:p w:rsidRPr="00DC308B" w:rsidR="00DF21DA" w:rsidP="00DF21DA" w:rsidRDefault="00DF21DA" w14:paraId="133D8A1C" w14:textId="77777777"/>
    <w:p w:rsidRPr="00DC308B" w:rsidR="00DF21DA" w:rsidP="00DF21DA" w:rsidRDefault="00DF21DA" w14:paraId="3AE81D87" w14:textId="1D0BC220">
      <w:pPr>
        <w:pStyle w:val="Heading2"/>
      </w:pPr>
      <w:r>
        <w:t>Διαπιστώνεται ότι, τα τελευταία χρόνια, το κόστος για τις εισαγωγές ενέργειας έχει αυξηθεί εκ νέου (σε άνω των 330 δισεκατομμυρίων ευρώ ετησίως), με αποτέλεσμα να έχει αντιστραφεί και πάλι η τάση μείωσης που παρατηρούνταν στο παρελθόν.</w:t>
      </w:r>
    </w:p>
    <w:p w:rsidRPr="00DC308B" w:rsidR="00DF21DA" w:rsidP="00DF21DA" w:rsidRDefault="00DF21DA" w14:paraId="75C19736" w14:textId="77777777"/>
    <w:p w:rsidRPr="00DC308B" w:rsidR="00DF21DA" w:rsidP="00DF21DA" w:rsidRDefault="00DF21DA" w14:paraId="1ED2E449" w14:textId="6723145F">
      <w:pPr>
        <w:pStyle w:val="Heading2"/>
      </w:pPr>
      <w:r>
        <w:t>Η Επιτροπή κλείνει την έκθεσή της επαναλαμβάνοντας ότι η Ευρώπη έχει στο πλαίσιο της κρίσης του κορονοϊού μια μοναδική ευκαιρία να πραγματοποιήσει επενδύσεις, με τις οποίες θα μπορέσει να υποστηριχθεί η ανάκαμψη της οικονομίας της ΕΕ και ταυτόχρονα να επιταχυνθεί η πράσινη και η ψηφιακή μετάβαση.</w:t>
      </w:r>
    </w:p>
    <w:p w:rsidRPr="00DC308B" w:rsidR="00DF21DA" w:rsidP="00DF21DA" w:rsidRDefault="00DF21DA" w14:paraId="1B8C8D21" w14:textId="77777777"/>
    <w:p w:rsidRPr="00DC308B" w:rsidR="00DF21DA" w:rsidP="00DF21DA" w:rsidRDefault="00DF21DA" w14:paraId="23AA7E46" w14:textId="1906A37E">
      <w:pPr>
        <w:pStyle w:val="Heading2"/>
      </w:pPr>
      <w:r>
        <w:t>Στην ανακοίνωσή της σχετικά με την αξιολόγηση σε επίπεδο ΕΕ των ΕΣΕΚ, η Επιτροπή συνάγει το θετικό συμπέρασμα ότι η πρόοδος που έχει σημειωθεί ως προς τη μείωση των εκπομπών αερίων θερμοκηπίου και τις ανανεώσιμες πηγές ενέργειας κατέστησε εφικτή την αύξηση των αντίστοιχων στόχων για το 2030 ήδη από το 2021. Ωστόσο, η Επιτροπή αναγνωρίζει ότι υπάρχει τεράστια ανάγκη κάλυψης του χαμένου εδάφους αναφορικά με την ενεργειακή απόδοση, τις επενδύσεις στην έρευνα και τις καινοτομίες. Προκειμένου να αντιμετωπιστούν οι σχετικές ελλείψεις, είναι αναγκαίο τα κράτη μέλη να λάβουν υπόψη τις δυνατότητες χρηματοδότησης στο πλαίσιο του πολυετούς δημοσιονομικού πλαισίου και του μηχανισμού ανάκαμψης και ανθεκτικότητας.</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lastRenderedPageBreak/>
        <w:t>Γενικές παρατηρήσεις της ΕΟΚΕ</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Καταρχάς, οφείλονται συγχαρητήρια στην Επιτροπή: η ακρίβεια με την οποία διενεργείται η διακυβέρνηση της Ενεργειακής Ένωσης και αποτυπώνεται στα πολυάριθμα έγγραφα (και παραρτήματα), αποδεικνύει τις πολύ σοβαρές προθέσεις της. Αυτό είναι αναγκαίο διότι οι στόχοι που έχουν τεθεί μέχρι στιγμής για την προστασία του κλίματος και οι οποίοι θα πρέπει να καταστούν αυστηρότεροι δεν έχουν επιτευχθεί ή έχουν επιτευχθεί σε πολύ μικρό βαθμό. Ο στόχος να επιτύχει η Ευρωπαϊκή Ένωση έως το 2050 κλιματική ουδετερότητα έχει μετατραπεί σε ορόσημο και χρειάζεται έναν άνευ προηγουμένου σχεδιασμό και συντονισμό πολύ διαφορετικών μεταξύ τους προσεγγίσεων πολιτικής, ο οποίος πρέπει να υπερβεί κατά πολύ όσα έχουν αποφασιστεί μέχρι στιγμής.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t>Με βάση τα ανωτέρω, η ΕΟΚΕ συμφωνεί απόλυτα με την Επιτροπή όταν η τελευταία τονίζει ότι τα κράτη μέλη πρέπει να αναπτύξουν και να υλοποιήσουν άμεσα σαφέστερες στρατηγικές, λαμβάνοντας δεόντως υπόψη τις συνέπειες για την κοινωνία, την απασχόληση και τις δεξιότητες καθώς και άλλες διανεμητικές επιπτώσεις της ενεργειακής μετάβασης και δηλώνοντας με ποιον τρόπο σκοπεύουν να αντιμετωπίσουν τις προκλήσεις που έχουν προκύψει.</w:t>
      </w:r>
    </w:p>
    <w:p w:rsidRPr="00DC308B" w:rsidR="00392EF1" w:rsidP="00392EF1" w:rsidRDefault="00392EF1" w14:paraId="22E8AA09" w14:textId="77777777"/>
    <w:p w:rsidRPr="00DC308B" w:rsidR="00392EF1" w:rsidP="00392EF1" w:rsidRDefault="00392EF1" w14:paraId="52CFCFF1" w14:textId="390FF1FD">
      <w:pPr>
        <w:pStyle w:val="Heading2"/>
      </w:pPr>
      <w:r>
        <w:t>Τα βασικά συμπεράσματα της Επιτροπής είναι κατανοητά και χρήζουν υποστήριξης. Αυτό ισχύει ιδίως για τη διαπίστωση ότι η πρόοδος που έχει σημειωθεί ως προς την επίτευξη του στόχου της μείωσης των εκπομπών αερίων θερμοκηπίου, την ενίσχυση της ενεργειακής απόδοσης και την ανάπτυξη των ανανεώσιμων πηγών ενέργειας αποτελεί εφαλτήριο για την επίτευξη υψηλότερων στόχων.</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Η ΕΟΚΕ συμφωνεί επίσης με την Επιτροπή ότι πρέπει να δοθεί νέα ώθηση. Ωστόσο, θα ήταν σκόπιμο να αναφέρει η Επιτροπή συγκεκριμένα ποια θα πρέπει να είναι αυτά τα νέα κίνητρα.</w:t>
      </w:r>
    </w:p>
    <w:p w:rsidRPr="00DC308B" w:rsidR="00392EF1" w:rsidP="00392EF1" w:rsidRDefault="00392EF1" w14:paraId="5DF38093" w14:textId="77777777"/>
    <w:p w:rsidRPr="00DC308B" w:rsidR="00392EF1" w:rsidP="00392EF1" w:rsidRDefault="00392EF1" w14:paraId="61986789" w14:textId="0BFCD9DD">
      <w:pPr>
        <w:pStyle w:val="Heading2"/>
      </w:pPr>
      <w:r>
        <w:t>Ακόμα, φαίνεται λογικό να συνδέει η Επιτροπή την ανάπτυξη της Ενεργειακής Ένωσης με την Ευρωπαϊκή Πράσινη Συμφωνία και την πολιτική ανάκαμψης μετά την πανδημία – αμφότερες αποτελούν προσεγγίσεις που δεν υπήρχαν κατά την περίοδο που καταρτιζόταν το στρατηγικό πλαίσιο για την Ενεργειακή Ένωση και ο κανονισμός για τη διακυβέρνηση. Η ΕΟΚΕ τονίζει ότι η Ευρωπαϊκή Ενεργειακή Ένωση δημιουργεί την ιδανική βάση διαχείρισης της Πράσινης Συμφωνίας. Ακόμα πιο σημαντικό θα ήταν να γίνει σαφέστερη αναφορά στις ελλείψεις που διαπιστώθηκαν κατά την τρέχουσα αναθεώρηση και να καταρτιστούν στρατηγικές για την αντιμετώπισή τους. Αυτό δεν έχει γίνει σε τουλάχιστον τρεις περιπτώσεις, όπου θα πρέπει να ακολουθηθούν οι εξής διαδικασίες.</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Ελλιπής υλοποίηση του στόχου «Οι πολίτες στο επίκεντρο της Ενεργειακής Ένωσης»</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Όπως αναφέρεται στο σημείο 2.2, η Επιτροπή ανάφερε στο στρατηγικό πλαίσιο της Ενεργειακής Ένωσης ότι η ύπαρξη μιας πολιτικής από και για τους πολίτες αποτελεί τον </w:t>
      </w:r>
      <w:r>
        <w:rPr>
          <w:i/>
          <w:iCs/>
        </w:rPr>
        <w:t>σημαντικότερο</w:t>
      </w:r>
      <w:r>
        <w:t xml:space="preserve"> στόχο! Ως εκ τούτου, θα έπρεπε να δοθεί μεγαλύτερη σημασία στον στόχο αυτόν και στην έκθεση σχετικά με την κατάσταση της Ενεργειακής Ένωσης, κυρίως μέσω συγκεκριμένων προτάσεων σχετικά με τον τρόπο με τον οποίο πρέπει να επιτευχθεί η διαφανής και ενεργός συμμετοχή των πολιτών, των κοινωνικών εταίρων και των ενδιαφερόμενων μερών στις διαδικασίες λήψης αποφάσεων, π.χ. στα ΕΣΕΚ, καθώς και η ενεργός συμμετοχή στη </w:t>
      </w:r>
      <w:r>
        <w:lastRenderedPageBreak/>
        <w:t xml:space="preserve">δραστηριότητα των αγορών. Ωστόσο, στην πραγματικότητα, ο παράγοντας της συμμετοχής δεν αναφέρεται ούτε μία φορά στην έκθεση και δεν λαμβάνεται επίσης καθόλου υπόψη εάν τα προτεινόμενα μελλοντικά μέτρα εξυπηρετούν σαφώς αυτόν τον στόχο.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t>Το πρόβλημα καθίσταται εμφανές μεταξύ άλλων και στη στρατηγική που παρουσίασε η Επιτροπή για την ενοποίηση του ενεργειακού συστήματος, στην οποία οι πολίτες παρουσιάζονται μόνον ως καταναλωτές και όχι ως ενεργοί συμμετέχοντες στην αγορά. Και στα σημεία στα οποία δίνει έμφαση η Ευρωπαϊκή Επιτροπή</w:t>
      </w:r>
      <w:r w:rsidRPr="00DC308B">
        <w:rPr>
          <w:color w:val="000000" w:themeColor="text1"/>
          <w:sz w:val="24"/>
          <w:szCs w:val="24"/>
          <w:vertAlign w:val="superscript"/>
        </w:rPr>
        <w:footnoteReference w:id="4"/>
      </w:r>
      <w:r>
        <w:t>, δηλαδή στη στρατηγική για το υδρογόνο, καθώς και στο ανακοινωθέν όραμα για την υπεράκτια ενέργεια δεν καθίσταται σαφές εάν η συμμετοχή των πολιτών είναι εφικτή και εάν έχει ληφθεί καθόλου υπόψη. Ακόμα, εκείνο που επιδέχεται μεγάλης κριτικής είναι το γεγονός ότι η Επιτροπή αναφέρει στην ανακοίνωση για την αξιολόγηση των ΕΣΕΚ ότι σκοπεύει να χρησιμοποιήσει τον νέο μηχανισμό χρηματοδότησης της ΕΕ για την ενέργεια από ανανεώσιμες πηγές για την προώθηση υπεράκτιων τεχνολογιών.</w:t>
      </w:r>
    </w:p>
    <w:p w:rsidRPr="00DC308B" w:rsidR="00392EF1" w:rsidP="00392EF1" w:rsidRDefault="00392EF1" w14:paraId="3341F3A3" w14:textId="77777777"/>
    <w:p w:rsidRPr="00DC308B" w:rsidR="00392EF1" w:rsidP="008A5FF3" w:rsidRDefault="00392EF1" w14:paraId="042C8F42" w14:textId="35CC9257">
      <w:pPr>
        <w:pStyle w:val="Heading2"/>
      </w:pPr>
      <w:r>
        <w:t>Ως εκ τούτου, η Επιτροπή παραβλέπει το ισχύον ευρωπαϊκό δίκαιο, διότι στην οδηγία για την εσωτερική αγορά ηλεκτρικής ενέργειας (ΕΕ) 2019/944, στην αιτιολογική σκέψη 43 αναφέρεται ότι η κοινοτική ενέργεια αποτελεί «έναν αποτελεσματικό και οικονομικά αποδοτικό τρόπο να ικανοποιούνται οι ανάγκες και οι προσδοκίες των πολιτών [...]. [...] Με την άμεση εμπλοκή των καταναλωτών, οι κοινοτικές πρωτοβουλίες για την ενέργεια αποδεικνύουν τη δυνατότητά τους να διευκολύνουν την υιοθέτηση νέων τεχνολογιών και καταναλωτικών συνηθειών, μεταξύ άλλων, των έξυπνων δικτύων διανομής και της απόκρισης ζήτησης, κατά τρόπο ολοκληρωμένο. Επιπλέον, η κοινοτική ενέργεια μπορεί να ενισχύσει την ενεργειακή απόδοση όσον αφορά τα νοικοκυριά και να συμβάλει στην καταπολέμηση της ενεργειακής φτώχειας με μειωμένη κατανάλωση και χαμηλότερα τιμολόγια προμήθειας. [...] [...] Όταν λειτουργούν επιτυχώς, οι εν λόγω πρωτοβουλίες αποφέρουν στην κοινότητα οικονομικό, κοινωνικό και περιβαλλοντικό όφελος.» Επίσης, κατά την άποψη του Ευρωπαίου νομοθέτη, η ιδιοπαραγόμενη ενέργεια μπορεί να αντιμετωπίσει τις αδυναμίες που έχουν εντοπιστεί σε πολυάριθμα έγγραφα της Επιτροπής. Εξίσου ακατανόητο είναι το γεγονός ότι η Επιτροπή δεν αναγνωρίζει το γεγονός αυτό στα δικά της έγγραφα. Υπάρχει μεγάλο χάσμα μεταξύ ισχυρισμών και πραγματικότητας, και η ΕΟΚΕ εξακολουθεί να μην διαπιστώνει την ύπαρξη μιας πραγματικής στρατηγικής της Επιτροπής για τη μετατροπή των πολιτών σε ενεργούς εταίρους.</w:t>
      </w:r>
    </w:p>
    <w:p w:rsidRPr="00DC308B" w:rsidR="00392EF1" w:rsidP="00392EF1" w:rsidRDefault="00392EF1" w14:paraId="3C807EB0" w14:textId="77777777"/>
    <w:p w:rsidRPr="00DC308B" w:rsidR="00392EF1" w:rsidP="008A5FF3" w:rsidRDefault="00392EF1" w14:paraId="28890A1E" w14:textId="49B370FB">
      <w:pPr>
        <w:pStyle w:val="Heading2"/>
      </w:pPr>
      <w:r>
        <w:t xml:space="preserve">Ωστόσο, η κριτική αυτή αφορά και τα περισσότερα κράτη μέλη, τα οποία οφείλουν, βάσει του άρθρου 20 του κανονισμού (ΕΕ) 2018/1999 για τη διακυβέρνηση, να εντάξουν την ιδιοπαραγόμενη ενέργεια στα ΕΣΕΚ τους. Η Επιτροπή επισημαίνει στην αξιολόγησή της ότι τα κράτη μέλη δεν έχουν συμμορφωθεί με αυτήν την υποχρέωση ή δεν το έχουν πράξει σε ικανοποιητικό βαθμό. Η ΕΟΚΕ καλεί την Ευρωπαϊκή Επιτροπή να προτείνει συγκεκριμένους κανόνες για την προώθηση της ιδιοπαραγόμενης ενέργειας στο πλαίσιο της επικείμενης αναθεώρησης της οδηγίας για την ενέργεια από ανανεώσιμες πηγές.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lastRenderedPageBreak/>
        <w:t>Ελλιπής υλοποίηση των στόχων «Ενεργειακή ασφάλεια/Μείωση των εισαγωγών ενέργειας»</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Ένας στρατηγικός στόχος της Ενεργειακής Ένωσης είναι η αύξηση της ενεργειακής ασφάλειας, μεταξύ άλλων μέσω της μείωσης των εισαγωγών ενέργειας. Η Επιτροπή επισημαίνει, σε γενικές γραμμές, ότι δεν έχει σημειωθεί πρόοδος – αντιθέτως, οι δαπάνες για τις εισαγωγές ενέργειας έχουν αυξηθεί εκ νέου. Η ολοένα μεγαλύτερη σημασία του υδρογόνου θα μπορούσε να συμβάλει στην ακόμα μεγαλύτερη αύξηση των εισαγωγών στο μέλλον, δεδομένου ότι η Επιτροπή βασίζεται στη στρατηγική της για το υδρογόνο συνειδητά στις εισαγωγές! Η ΕΟΚΕ αναμένει από την Επιτροπή να παράσχει σαφείς διευκρινίσεις εν προκειμένω. </w:t>
      </w:r>
    </w:p>
    <w:p w:rsidRPr="00DC308B" w:rsidR="00392EF1" w:rsidP="00392EF1" w:rsidRDefault="00392EF1" w14:paraId="33AD2944" w14:textId="07779C0A"/>
    <w:p w:rsidRPr="00DC308B" w:rsidR="00E6375E" w:rsidP="00C146D8" w:rsidRDefault="00E6375E" w14:paraId="12A9D05A" w14:textId="19EA0D96">
      <w:pPr>
        <w:pStyle w:val="Heading2"/>
      </w:pPr>
      <w:r>
        <w:t>Η ΕΟΚΕ επισημαίνει επίσης ότι δεν θα πρέπει να λησμονείται η ιδέα της ευρωπαϊκής αλληλεγγύης κατά την εξασφάλιση των αναπόφευκτων εισαγωγών ενέργειας. Οι μεμονωμένες εθνικές δράσεις, όπως το έργο του αγωγού φυσικού αερίου Nord Stream 2, μπορούν να θέσουν σε κίνδυνο τόσο τη δράση για το κλίμα όσο και την ασφάλεια του εφοδιασμού. Οι δράσεις που υπονομεύουν την ευρωπαϊκή αλληλεγγύη, υπονομεύουν και την εμπιστοσύνη των πολιτών στην ΕΕ και πλήττουν την εικόνα της ΕΕ σε τρίτες χώρες.</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Ελλιπής υλοποίηση του στόχου «Καινοτομία, ηγετική θέση σε διεθνές επίπεδο»</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Και σε σχέση με την καινοτομία, η εικόνα είναι αρνητική. Η φιλοδοξία να αποκτήσει η Ενεργειακή Ένωση ηγετική θέση σε διεθνές επίπεδο δεν υποστηρίζεται από την εικόνα που περιγράφεται στην έκθεση για την κατάσταση της Ενεργειακής Ένωσης σχετικά με τις επενδύσεις για την έρευνα και τις καινοτομίες καθώς και όσον αφορά τη χορήγηση διπλωμάτων ευρεσιτεχνίας. Υπό το πρίσμα αυτής της ανησυχητικής διαπίστωσης, χρειάζεται να διενεργηθεί ακριβής και εμπεριστατωμένη ανάλυση των σφαλμάτων με την οποία θα διερευνηθεί και θα προσδιοριστεί επιμελώς η αιτία αυτής της παρεκτροπής. Εν προκειμένω, θα πρέπει να αναπτυχθούν συγκεκριμένα αντίμετρα. </w:t>
      </w:r>
    </w:p>
    <w:p w:rsidRPr="00DC308B" w:rsidR="00392EF1" w:rsidP="00392EF1" w:rsidRDefault="00392EF1" w14:paraId="4F01558E" w14:textId="77777777"/>
    <w:p w:rsidRPr="00DC308B" w:rsidR="00392EF1" w:rsidP="008A5FF3" w:rsidRDefault="00392EF1" w14:paraId="013C00C8" w14:textId="71F64346">
      <w:pPr>
        <w:pStyle w:val="Heading2"/>
      </w:pPr>
      <w:r>
        <w:t>Με βάση το πλαίσιο που περιγράφεται στα σημεία 3.6 έως 3.11, πρέπει να καταστεί σαφές το εξής: δεν αρκεί να γίνονται μονίμως οι ίδιες δηλώσεις όταν αυτές δεν συνοδεύονται από συγκεκριμένες δράσεις. Διαφορετικά, τίθεται υπό αμφισβήτηση η αξιοπιστία της ευρωπαϊκής πολιτικής. Στην πραγματικότητα, σε κανένα από τα έγγραφα της Επιτροπής, συμπεριλαμβανομένης της στρατηγικής για την ενοποίηση του ενεργειακού συστήματος και της στρατηγικής για το υδρογόνο, δεν γίνεται αναφορά σε συγκεκριμένα μέτρα που θα μπορούσαν να βοηθήσουν στην επίτευξη των ανωτέρω στόχων.</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Σημασία της Ενεργειακής Ένωσης για την κοινωνική και την περιφερειακή πολιτική</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Η Επιτροπή αναφέρεται στα κεφάλαια 2.6 και 3.3 της έκθεσής της για την κατάσταση της Ενεργειακής Ένωσης και σε ορισμένα ζητήματα που άπτονται της κοινωνικής πολιτικής. Τα ζητήματα αυτά είναι σωστά, η δε ΕΟΚΕ υποστηρίζει ιδίως τη σύνδεση των μέτρων ανάκαμψης μετά τον κορονοϊό με τους στόχους της πολιτικής για το κλίμα και την ενέργεια. Και τα προβλεπόμενα μέτρα για μια δίκαιη μετάβαση είναι σωστά και αποτελούν βάση για να πειστούν οι πολίτες για την επίτευξη των στόχων της πολιτικής για το κλίμα και την ενέργεια. Κατά πόσον θα βοηθήσουν στην εφαρμογή της αρχής «να μην μείνει κανείς στο περιθώριο» </w:t>
      </w:r>
      <w:r>
        <w:lastRenderedPageBreak/>
        <w:t xml:space="preserve">εξαρτάται συγκεκριμένα από τη θέση σε λειτουργία αλλά και τη χρηματοδότηση των επιμέρους μέσων καθώς και από την εφαρμογή τους σε εθνικό επίπεδο.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t>Η ΕΟΚΕ υπενθυμίζει την άποψή της που διατυπώθηκε σε παλαιότερες γνωμοδοτήσεις της</w:t>
      </w:r>
      <w:r w:rsidRPr="00DC308B">
        <w:rPr>
          <w:noProof/>
          <w:sz w:val="24"/>
          <w:szCs w:val="24"/>
          <w:vertAlign w:val="superscript"/>
        </w:rPr>
        <w:footnoteReference w:id="5"/>
      </w:r>
      <w:r>
        <w:t>: όχι μόνο πρέπει να χρησιμοποιηθούν τα μέσα της κοινωνικής και περιφερειακής συνοχής καθώς και τα μέσα για την ανάκαμψη κατά τρόπο που θα στηρίζουν τη δράση για το κλίμα και την ενεργειακή μετάβαση, αλλά η πολιτική για το κλίμα και την ενέργεια πρέπει επίσης (και μπορεί) να διαμορφωθεί κατά τέτοιον τρόπο, ώστε να προάγει την κοινωνική και την περιφερειακή συνοχή. Τέτοιου είδους προσεγγίσεις υπάρχουν ήδη, με ορισμένες εξ αυτών να περιέχονται στην ανακοίνωση για την αξιολόγηση των ΕΣΕΚ, όπως έργα για την κατασκευή ηλιακών αγροκτημάτων σε πρώην ορυχεία λιγνίτη στην Ελλάδα και την Πορτογαλία ή η επωφελής στρατηγική για χρηματοδότηση στήριξη των παραγωγών-καταναλωτών στη Λιθουανία. Ωστόσο, τα παραδείγματα αυτά σε καμία περίπτωση δεν αποτελούν γενικευμένη πρακτική.</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Επομένως, υπάρχει κίνδυνος η ενεργειακή μετάβαση να διογκώσει τις κοινωνικές και τις περιφερειακές διαφορές, π.χ. σε περίπτωση που η Επιτροπή προβεί σε ενοποίηση του ενεργειακού συστήματος, ανάπτυξη των υποδομών υδρογόνου και προώθηση των υπεράκτιων ενεργειών, κατά τα προβλεπόμενα, διότι στην περίπτωση αυτή θα προτιμήσει τον κεντρικό έναντι του αποκεντρωμένου σχεδιασμού.</w:t>
      </w:r>
    </w:p>
    <w:p w:rsidRPr="00DC308B" w:rsidR="00392EF1" w:rsidP="00392EF1" w:rsidRDefault="00392EF1" w14:paraId="4E46F510" w14:textId="77777777"/>
    <w:p w:rsidRPr="00DC308B" w:rsidR="00392EF1" w:rsidP="008A5FF3" w:rsidRDefault="00392EF1" w14:paraId="13343411" w14:textId="1BC9C371">
      <w:pPr>
        <w:pStyle w:val="Heading2"/>
      </w:pPr>
      <w:r>
        <w:t>Σε κάθε περίπτωση, η παράλληλη οικοδόμηση κεντρικών και αποκεντρωμένων υποδομών είναι προβληματική και απειλεί να οδηγήσει σε εσφαλμένες επενδύσεις. Για παράδειγμα, η χρήση εκτεταμένου δικτύου αγωγών μεταφοράς υδρογόνου και η ανάπτυξη συστημάτων τηλεθέρμανσης χαμηλής θερμοκρασίας, όπως ζητείται στην ανακοίνωση της Επιτροπής για την αξιολόγηση των ΕΣΕΚ, αποτελούν αλληλοσυγκρουόμενες έννοιες. Ως εκ τούτου, η ΕΟΚΕ έχει ζητήσει —για λόγους ασφάλειας των επενδύσεων— κατάλληλες αποφάσεις πολιτικής</w:t>
      </w:r>
      <w:r w:rsidRPr="00DC308B">
        <w:rPr>
          <w:sz w:val="24"/>
          <w:szCs w:val="24"/>
          <w:vertAlign w:val="superscript"/>
        </w:rPr>
        <w:footnoteReference w:id="6"/>
      </w:r>
      <w:r>
        <w:t>. Αυτές έχουν στρατηγική σημασία και για την επιτυχία της Ενεργειακής Ένωσης, ωστόσο στα υπό εξέταση έγγραφα δεν λαμβάνονται καθόλου υπόψη.</w:t>
      </w:r>
    </w:p>
    <w:p w:rsidRPr="00DC308B" w:rsidR="00392EF1" w:rsidP="00392EF1" w:rsidRDefault="00392EF1" w14:paraId="54BE2E11" w14:textId="77777777"/>
    <w:p w:rsidRPr="00DC308B" w:rsidR="00392EF1" w:rsidP="008A5FF3" w:rsidRDefault="00392EF1" w14:paraId="2033907C" w14:textId="037B665D">
      <w:pPr>
        <w:pStyle w:val="Heading2"/>
      </w:pPr>
      <w:r>
        <w:t>Όπως και σε όλα σχεδόν τα πρόσφατα έγγραφα της Επιτροπής για την πολιτική για την ενέργεια, η ψηφιοποίηση δεν αναφέρεται καθόλου στην έκθεση για την κατάσταση της Ενεργειακής Ένωσης. Ωστόσο, η ψηφιοποίηση επιτρέπει να διερευνηθούν ενδιαφέρουσες ιδέες, π.χ. έξυπνα μικροδίκτυα και έξυπνες αγορές, μικροεμπόριο, εικονικοί σταθμοί παραγωγής ενέργειας κ.λπ. Όλες αυτές οι ιδέες μπορούν να συμβάλουν στη μεγαλύτερη αποδοτικότητα και ισχύ της εσωτερικής αγορά ενέργειας, μεταξύ άλλων και επειδή ενισχύουν τον ρόλο των ενεργών καταναλωτών. Η Επιτροπή αναφέρεται σε αυτές στη στρατηγική πλαίσιο για την Ενεργειακή Ένωση, αν και όχι αναλυτικά</w:t>
      </w:r>
      <w:r w:rsidRPr="00DC308B" w:rsidR="00311BE2">
        <w:rPr>
          <w:sz w:val="24"/>
          <w:szCs w:val="24"/>
          <w:vertAlign w:val="superscript"/>
        </w:rPr>
        <w:footnoteReference w:id="7"/>
      </w:r>
      <w:r>
        <w:t xml:space="preserve">. Είναι ακατανόητο το γιατί παραβλέπονται αυτές οι πτυχές στην έκθεση για την κατάσταση της Ενεργειακής Ένωσης, δεδομένου ιδίως ότι η χρήση των ψηφιακών τεχνολογιών πρέπει να εξετασθεί προσεκτικά σε σχέση με τη σκοπιμότητά της </w:t>
      </w:r>
      <w:r>
        <w:lastRenderedPageBreak/>
        <w:t>και με δυνητικά δεοντολογικού χαρακτήρα προβλήματα, ιδίως αναφορικά με την κυριαρχία των δεδομένων.</w:t>
      </w:r>
    </w:p>
    <w:p w:rsidRPr="00DC308B" w:rsidR="0087511F" w:rsidP="0087511F" w:rsidRDefault="0087511F" w14:paraId="7133C439" w14:textId="316624B9"/>
    <w:p w:rsidRPr="00DC308B" w:rsidR="000B2261" w:rsidP="0092523D" w:rsidRDefault="000B2261" w14:paraId="369B979D" w14:textId="3012A6FF">
      <w:pPr>
        <w:pStyle w:val="Heading2"/>
      </w:pPr>
      <w:r>
        <w:t>Ωστόσο, σε κάθε περίπτωση, πρέπει να υπάρξει μέριμνα ώστε η ψηφιοποίηση να είναι προς όφελος του τελικού καταναλωτή. Οι πολίτες εξακολουθούν να αναμένουν βελτιωμένες υπηρεσίες που θα βασίζονται στην αύξηση της ψηφιοποίησης, όπως π.χ. η αλλαγή παρόχου σε ημερήσια βάση, η άμεση αναφορά ελαττωματικών μετρητών ή ύποπτων προτύπων χρήσης και οι απρόσκοπτες διαδικασίες για τη σύνδεση της παραγωγής τους στο δίκτυο.</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Ειδικές παρατηρήσεις</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Σχετικά με το κεφάλαιο «Απανθρακοποίηση» στην έκθεση για την κατάσταση της Ενεργειακής Ένωσης</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t>Η Επιτροπή ορθώς υποστηρίζει ότι η χρήση ανανεώσιμων πηγών ενέργειας συνοδεύεται από πολυάριθμα οφέλη. Ωστόσο, το ερώτημα ποιος επωφελείται από αυτά εξαρτάται σε μεγάλο βαθμό από το αν η ενεργειακή μετάβαση θα πραγματοποιηθεί με κεντρικό ή με αποκεντρωμένο τρόπο</w:t>
      </w:r>
      <w:r w:rsidRPr="00DC308B">
        <w:rPr>
          <w:color w:val="000000" w:themeColor="text1"/>
          <w:sz w:val="24"/>
          <w:szCs w:val="24"/>
          <w:vertAlign w:val="superscript"/>
        </w:rPr>
        <w:footnoteReference w:id="8"/>
      </w:r>
      <w:r>
        <w:t>. Αυτό το σημείο αποσιωπάται από την Επιτροπή στην έκθεσή της.</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tab/>
        <w:t>Σχετικά με το κεφάλαιο «Ενεργειακή ασφάλεια» στην έκθεση για την κατάσταση της Ενεργειακής Ένωσης</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Ορθώς εφιστά η Επιτροπή ιδιαίτερη προσοχή στην ασφάλεια του ενεργειακού εφοδιασμού και, εν προκειμένω, στην ενεργειακή ασφάλεια. Και αυτό διότι η σημασία της για την εθνική οικονομία είναι ανυπολόγιστη. Παράλληλα με το κλασικό ζήτημα σχετικά με την εξάρτηση από τις εισαγωγές, πρέπει επίσης να εξεταστεί και η ανθεκτικότητα σε εξωτερικές επιθέσεις, π.χ. στο πλαίσιο κυβερνοεπιθέσεων. Από πρόσφατες έρευνες</w:t>
      </w:r>
      <w:r w:rsidRPr="00DC308B" w:rsidR="00311BE2">
        <w:rPr>
          <w:color w:val="000000" w:themeColor="text1"/>
          <w:sz w:val="24"/>
          <w:szCs w:val="24"/>
          <w:vertAlign w:val="superscript"/>
        </w:rPr>
        <w:footnoteReference w:id="9"/>
      </w:r>
      <w:r>
        <w:t xml:space="preserve"> έχει προκύψει το ακόλουθο συμπέρασμα εν προκειμένω: η καλύτερη στρατηγική για μεγάλη ανθεκτικότητα είναι η ενίσχυση των αποκεντρωμένων δομών, προκειμένου να εξασφαλιστεί αυτόνομη ικανότητα. Η Επιτροπή θα πρέπει να λάβει περισσότερο υπόψη το συμπέρασμα αυτό.</w:t>
      </w:r>
    </w:p>
    <w:p w:rsidRPr="00DC308B" w:rsidR="00685417" w:rsidP="00685417" w:rsidRDefault="00685417" w14:paraId="7EA3A7E2" w14:textId="77777777"/>
    <w:p w:rsidRPr="00DC308B" w:rsidR="00685417" w:rsidP="00685417" w:rsidRDefault="00685417" w14:paraId="676C8F39" w14:textId="6AE89136">
      <w:pPr>
        <w:pStyle w:val="Heading2"/>
      </w:pPr>
      <w:r>
        <w:t>Αναμφίβολα, το πράσινο υδρογόνο θα συμβάλλει μελλοντικά σε ένα ευρωπαϊκό ενεργειακό σύστημα που θα εγγυάται την ασφάλεια του εφοδιασμού. Η ΕΟΚΕ παραπέμπει στις γνωμοδοτήσεις της σχετικά με τη στρατηγική για το υδρογόνο</w:t>
      </w:r>
      <w:r w:rsidRPr="00DC308B" w:rsidR="000B2261">
        <w:rPr>
          <w:noProof/>
          <w:sz w:val="24"/>
          <w:szCs w:val="24"/>
          <w:vertAlign w:val="superscript"/>
        </w:rPr>
        <w:footnoteReference w:id="10"/>
      </w:r>
      <w:r>
        <w:t xml:space="preserve"> και τη στρατηγική για την ενοποίηση του ενεργειακού συστήματος</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 xml:space="preserve">Και σε αυτήν την περίπτωση, δεν πρέπει να σκεφτόμαστε μόνο σε βιομηχανική κλίμακα (συμπεριλαμβανομένης της ανάπτυξης υποδομών εισαγωγής υδρογόνου). Υπάρχει πληθώρα καινοτόμων, φιλικών προς το περιβάλλον και κυρίως τοπικών/περιφερειακών λύσεων, οι οποίες </w:t>
      </w:r>
      <w:r>
        <w:lastRenderedPageBreak/>
        <w:t>μπορούν να εφαρμοστούν άμεσα επιτόπου (συμπεριλαμβανομένων της παραγωγής υδρογόνου σε περιφερειακό επίπεδο ή των συνθετικών οικολογικών καυσίμων). Με αυτόν τον τρόπο θα ενισχυθεί η ασφάλεια του εφοδιασμού, θα μειωθεί η εξάρτηση από τις εισαγωγές και θα προωθηθεί η τοπική απασχόληση με τη μορφή οικολογικών θέσεων εργασίας και η δημιουργία αξίας. Θα πρέπει επίσης να δίνεται η ευκαιρία στις πολύ μικρές, τις μικρές και τις μεσαίες επιχειρήσεις να συμμετέχουν στην Ευρωπαϊκή Πράσινη Συμφωνία και να επωφελούνται από αυτήν, γεγονός που θα αυξήσει επίσης την αποδοχή της εν λόγω συμφωνίας και του ενεργειακού μετασχηματισμού.</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t>Σχετικά με το κεφάλαιο «Εσωτερική αγορά ενέργειας» στην έκθεση για την κατάσταση της Ενεργειακής Ένωσης και την έκθεση προόδου για την εσωτερική αγορά ενέργειας</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Η Επιτροπή αναφέρει ότι με τη δέσμη μέτρων για την καθαρή ενέργεια θα δημιουργηθούν καλύτεροι όροι για την προώθηση της συμμετοχής των καταναλωτών στις αγορές ενέργειας και την εξασφάλιση ίσων όρων ανταγωνισμού για τους νέους συμμετέχοντες στην αγορά. Στην πραγματικότητα, αυτό αφορά μόνο τις διατάξεις της οδηγίας για την εσωτερική αγορά ηλεκτρικής ενέργειας. Δεν είναι ακόμη δυνατόν να προσδιοριστεί σε ποιο βαθμό τα κράτη μέλη έχουν εφαρμόσει αποτελεσματικά τις εν λόγω διατάξεις. Ως εκ τούτου, το συμπέρασμα της Επιτροπής είναι πρόωρο. Η ΕΟΚΕ ζητεί την επείγουσα διεξαγωγή σοβαρής αξιολόγησης του σημαντικού στόχου της συμμετοχής των καταναλωτών – μεταξύ άλλων και από την άποψη των επιπτώσεων της διανεμητικής πολιτικής στη συμμετοχή και των εισοδηματικά αδύναμων νοικοκυριών. </w:t>
      </w:r>
    </w:p>
    <w:p w:rsidRPr="00DC308B" w:rsidR="00685417" w:rsidP="00685417" w:rsidRDefault="00685417" w14:paraId="44559C65" w14:textId="77777777"/>
    <w:p w:rsidRPr="00DC308B" w:rsidR="004E60D8" w:rsidP="00500770" w:rsidRDefault="00685417" w14:paraId="0CCF668F" w14:textId="070FAD7D">
      <w:pPr>
        <w:pStyle w:val="Heading2"/>
      </w:pPr>
      <w:r>
        <w:t>Η Επιτροπή τονίζει τη σημασία των μηνυμάτων της αγοράς όσον αφορά τις τιμές, μεταξύ άλλων και για τους επενδυτές. Αυτό αποτελεί αναμφίβολα σημαντική πτυχή. Σε κάθε περίπτωση, εδώ απαιτείται μια διαφοροποιημένη οπτική. Οι περισσότερες αγορές χονδρικής ηλεκτρικής ενέργειας παρουσιάζουν βραχυπρόθεσμες τιμές. Το αν αυτές λειτουργούν ως μηνύματα για τους επενδυτές αποτελεί αμφιλεγόμενο ζήτημα στον τομέα των οικονομικών της ενέργειας. Η ΕΟΚΕ έχει ήδη αναγνωρίσει το γεγονός αυτό σε προηγούμενες γνωμοδοτήσεις της</w:t>
      </w:r>
      <w:r w:rsidRPr="00DC308B">
        <w:rPr>
          <w:sz w:val="24"/>
          <w:szCs w:val="24"/>
          <w:vertAlign w:val="superscript"/>
        </w:rPr>
        <w:footnoteReference w:id="12"/>
      </w:r>
      <w:r>
        <w:t>. Ως εκ τούτου, δεν είναι σκόπιμο η Επιτροπή να κάνει εν προκειμένω λόγο για «εσωτερική αγορά ενέργειας» χωρίς καμία διαφοροποίηση. Για να επιτύχει η Ενεργειακή Ένωση απαιτείται ένας νέος σχεδιασμός της αγοράς, ιδίως στον τομέα της ηλεκτρικής ενέργειας. Η πλήρης ευθύνη εξισορρόπησης των ανανεώσιμων πηγών ενέργειας δεν αρκεί από μόνη της. Ως εκ τούτου, η ΕΟΚΕ καλεί την Επιτροπή να υποβάλει όσο το δυνατόν συντομότερα τις παρατηρήσεις της σχετικά με έναν νέο σχεδιασμό της αγοράς. Εν προκειμένω, πρέπει να δοθεί μεγάλη προσοχή ώστε όλοι οι συμμετέχοντες στην αγορά να υπόκεινται στους ίδιους όρους στις αγορές εξισορρόπησης. Αυτό είναι απολύτως αναγκαίο και για την επιτυχία της ενοποίησης του ενεργειακού συστήματος</w:t>
      </w:r>
      <w:r w:rsidRPr="00DC308B" w:rsidR="00135E40">
        <w:rPr>
          <w:noProof/>
          <w:sz w:val="24"/>
          <w:szCs w:val="24"/>
          <w:vertAlign w:val="superscript"/>
        </w:rPr>
        <w:footnoteReference w:id="13"/>
      </w:r>
      <w:r>
        <w:t>.</w:t>
      </w:r>
    </w:p>
    <w:p w:rsidRPr="00DC308B" w:rsidR="004E60D8" w:rsidP="00C146D8" w:rsidRDefault="004E60D8" w14:paraId="2E5879A1" w14:textId="77777777"/>
    <w:p w:rsidRPr="00DC308B" w:rsidR="00685417" w:rsidP="00500770" w:rsidRDefault="000B2261" w14:paraId="235DA4DC" w14:textId="4EB83B7F">
      <w:pPr>
        <w:pStyle w:val="Heading2"/>
      </w:pPr>
      <w:r>
        <w:t>Ταυτόχρονα, πρέπει να εξεταστεί εάν οι στόχοι της ασφάλειας του εφοδιασμού και της κλιματικής ουδετερότητας είναι δυνατόν να επιτευχθούν αποκλειστικά μέσω μηνυμάτων σχετικά με τις τιμές.</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Η Επιτροπή δικαίως τονίζει στην έκθεση προόδου για την ενιαία αγορά ενέργειας ότι η διευκόλυνση του ανταγωνισμού σε επίπεδο παραγωγής και εφοδιασμού πρέπει να συνεχίσει να αποτελεί προτεραιότητα για την εθνική και την ενωσιακή ενεργειακή πολιτική. Ωστόσο, αφήνει ανοιχτή την ερμηνεία του ισχυρισμού αυτού. Δεν ισχύει και δεν αντιστοιχεί στο ευρωπαϊκό δίκαιο στο οποίο βασίζεται η δέσμη μέτρων για καθαρή ενέργεια ότι ο ανταγωνισμός μπορεί να προαχθεί μόνο μέσω διασύνδεσης των αγορών. Κατά την εφαρμογή των βασικών αρχών για την κατανομή δυναμικότητας και τη διαχείριση της συμφόρησης, σύμφωνα με το άρθρο 16 του κανονισμού για την αγορά ηλεκτρικής ενέργειας, θα πρέπει να λαμβάνεται υπόψη η γεωγραφική θέση των κρατών μελών, η οποία θα μπορούσε να δικαιολογήσει και παράταση των προθεσμιών κατά τον καθορισμό της δυναμικότητας. Σε κάθε περίπτωση, για την ύπαρξη ενεργού ανταγωνισμού είναι ιδιαίτερα σημαντική η πρόσβαση στην αγορά, ιδίως για τους μικρούς συμμετέχοντες. Σε αυτό, πολύ σημαντικό ρόλο μπορεί να διαδραματίσει η ψηφιοποίηση.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Η Επιτροπή αναφέρει ακόμα στην έκθεση προόδου σχετικά με την εσωτερική αγορά ενέργειας ότι οι θερμοηλεκτρικοί σταθμοί, όπως οι σταθμοί ηλεκτροπαραγωγής από αέριο με συμπαραγωγή ηλεκτρισμού και θερμότητας, μπορούν μεν να παρέχουν μεγάλη ευελιξία στο σύστημα αλλά ότι μηχανισμοί ισχύος που δεν είναι κατάλληλα σχεδιασμένοι μπορούν να προκαλέσουν σοβαρή στρέβλωση της εσωτερικής αγοράς. Η ΕΟΚΕ παραπέμπει εν προκειμένω στη θέση της, την οποία εξέφρασε στη γνωμοδότησή της TEN/625. Καλεί την Επιτροπή να αξιολογήσει υπό κριτικό πρίσμα τους μηχανισμούς ισχύος που υπάρχουν στα κράτη μέλη, μεταξύ άλλων και σε σχέση με την τήρηση των κανόνων βάσει του άρθρου 22 του κανονισμού για την εσωτερική αγορά ηλεκτρικής ενέργειας, όπου μεταξύ άλλων προβλέπεται οριακή τιμή 550 g CO</w:t>
      </w:r>
      <w:r>
        <w:rPr>
          <w:vertAlign w:val="subscript"/>
        </w:rPr>
        <w:t>2</w:t>
      </w:r>
      <w:r>
        <w:t>/kWh.</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Η Επιτροπή υπενθυμίζει στην έκθεση προόδου για την εσωτερική αγορά ενέργειας ότι για τους διαχειριστές συστημάτων μεταφοράς ή διανομής απαγορεύεται εν γένει να έχουν στην ιδιοκτησία τους και να λειτουργούν συστήματα αποθήκευσης ηλεκτρικής ενέργειας. Η ΕΟΚΕ επικροτεί καταρχήν αυτήν την απόφαση</w:t>
      </w:r>
      <w:r w:rsidRPr="00DC308B">
        <w:rPr>
          <w:noProof/>
          <w:sz w:val="24"/>
          <w:szCs w:val="24"/>
          <w:vertAlign w:val="superscript"/>
        </w:rPr>
        <w:footnoteReference w:id="14"/>
      </w:r>
      <w:r>
        <w:t>, με την οποία θα πρέπει να επιτρέπεται στους διαχειριστές δικτύων διανομής, για την εξυπηρέτηση των αναγκών του δικτύου, να έχουν στην ιδιοκτησία τους και να λειτουργούν συστήματα αποθήκευσης ηλεκτρικής ενέργειας. Επιπροσθέτως, θεωρεί ότι αυτό πρέπει να συνοδευτεί από την ενίσχυση των έξυπνων αγορών, ούτως ώστε οι διαχειριστές των συστημάτων αποθήκευσης να έχουν κίνητρο να συμμορφώνονται με τα μηνύματα των διαχειριστών των δικτύων και να δημιουργούν τα συστήματα αποθήκευσής τους κατά τρόπο που να εξυπηρετεί τις ανάγκες του συστήματος. Οι φορείς εκμετάλλευσης δικτύων χρειάζονται κατάλληλα κίνητρα για να διαδώσουν τα μηνύματα.</w:t>
      </w:r>
    </w:p>
    <w:p w:rsidRPr="00DC308B" w:rsidR="00685417" w:rsidP="00685417" w:rsidRDefault="00685417" w14:paraId="139350B0" w14:textId="0DE4B12D"/>
    <w:p w:rsidRPr="00DC308B" w:rsidR="00384DFA" w:rsidP="00C146D8" w:rsidRDefault="00384DFA" w14:paraId="196DD441" w14:textId="7A460097">
      <w:pPr>
        <w:pStyle w:val="Heading2"/>
      </w:pPr>
      <w:r>
        <w:t>Τα δίκτυα διανομής διαδραματίζουν θεμελιώδη ρόλο στην ανάπτυξη έξυπνων αγορών και γενικότερα στην επίτευξη της ενεργειακής μετάβασης. Στο μέλλον, η ενεργειακή πολιτική της Ένωσης πρέπει συνεπώς να επικεντρωθεί περισσότερο στον εκσυγχρονισμό της.</w:t>
      </w:r>
    </w:p>
    <w:p w:rsidRPr="00DC308B" w:rsidR="00384DFA" w:rsidP="00685417" w:rsidRDefault="00384DFA" w14:paraId="22FED3A9" w14:textId="77777777"/>
    <w:p w:rsidRPr="00DC308B" w:rsidR="00685417" w:rsidP="00500770" w:rsidRDefault="00685417" w14:paraId="158B395F" w14:textId="3AA2F7DF">
      <w:pPr>
        <w:pStyle w:val="Heading2"/>
      </w:pPr>
      <w:r>
        <w:lastRenderedPageBreak/>
        <w:t>Η ΕΟΚΕ συμφωνεί με την άποψη της Επιτροπής ότι ο πρωταρχικός στόχος της οδηγίας για τη φορολογία της ενέργειας 2003/96/ΕΚ δεν επιτυγχάνεται πλέον. Ως εκ τούτου, υποστηρίζει την πρόταση της Επιτροπής και ζητεί μια φιλόδοξη αναδιατύπωση της εν λόγω οδηγίας και άλλων μηχανισμών για την κατάργηση των επιδοτήσεων για τα ορυκτά καύσιμα, καθώς και την εσωτερίκευση του εξωτερικού κόστους.</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Η ΕΟΚΕ υπογραμμίζει εκ νέου το πρόβλημα της ενεργειακής φτώχειας και καλεί την Επιτροπή να λάβει συγκεκριμένα μέτρα, τα οποία θα υπερβαίνουν τις αφηρημένες οδηγίες σχετικά με τον ορισμό της ενεργειακής φτώχειας και την ίδρυση παρατηρητηρίου. Η ΕΟΚΕ έχει τονίσει πολλές φορές ότι η ευρεία συμμετοχή των πολιτών στον τομέα ενέργειας αποτελεί μια από τις προσεγγίσεις που μπορούν να βοηθήσουν.</w:t>
      </w:r>
    </w:p>
    <w:p w:rsidRPr="00DC308B" w:rsidR="00685417" w:rsidP="00685417" w:rsidRDefault="00685417" w14:paraId="5A825D5A" w14:textId="345177E9"/>
    <w:p w:rsidRPr="00DC308B" w:rsidR="00A67921" w:rsidP="0092523D" w:rsidRDefault="00A67921" w14:paraId="3472064E" w14:textId="74D3B7F6">
      <w:pPr>
        <w:pStyle w:val="Heading2"/>
      </w:pPr>
      <w:r>
        <w:t>Στο πλαίσιο αυτό, η ΕΟΚΕ υπενθυμίζει τη θέση της ότι είναι σημαντικό να αποφευχθεί η δημιουργία μιας ενεργειακής κοινωνίας δύο ταχυτήτων. Δεν είναι αποδεκτό μόνον τα εύπορα και τεχνολογικά επαρκώς εξοπλισμένα νοικοκυριά να επωφελούνται από την ενεργειακή μετάβαση, ενώ όλα τα υπόλοιπα νοικοκυριά να αναγκάζονται να επωμιστούν το κόστος. Οι πολίτες που πλήττονται από ενεργειακή φτώχεια δεν είναι κατά κανόνα οι πολιτικά ισχυρότεροι. Ως εκ τούτου, η Επιτροπή θα πρέπει να καταβάλει περισσότερες προσπάθειες ώστε τα κράτη μέλη να επιδιώξουν ενεργά την αντιμετώπιση της ενεργειακής φτώχειας: τόσο το επιδιωκόμενο κύμα ενεργειακών ανακαινίσεων των κτιρίων όσο και η ενεργός συμμετοχή των πολιτών στην παραγωγή ανανεώσιμου ηλεκτρικού ρεύματος μπορούν να συμβάλουν στον μετριασμό της ενεργειακής φτώχειας. Θα πρέπει επίσης να ληφθεί υπόψη ότι η πιθανή επέκταση της εμπορίας εκπομπών στους τομείς της θέρμανσης και των μεταφορών μπορεί να έχει αντίκτυπο στη δίκαιη διανομή.</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t>Σχετικά με το κεφάλαιο «Έρευνα, καινοτομία και ανταγωνιστικότητα» στην έκθεση για την κατάσταση της Ενεργειακής Ένωσης</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Η ΕΟΚΕ εκφράζει τον φόβο ότι ένας λόγος για την υστέρηση της ΕΕ σε τομείς, όπως οι ηλιακοί συσσωρευτές και οι συσσωρευτές ιόντων λιθίου, είναι η περιορισμένη ζήτηση. Ως εκ τούτου, η ΕΟΚΕ ζητεί από την Επιτροπή να καταρτίσει μια ευρύτερη στρατηγική: η ΕΕ χρειάζεται ενεργές πρωτοβουλίες στον τομέα της βιομηχανικής πολιτικής, προκειμένου να σπάσει η κυριαρχία της Κίνας στην αγορά. Η πρόταση της Επιτροπής για κανονισμό για τους συσσωρευτές αποτελεί παράδειγμα βήματος προς τη σωστή κατεύθυνση. Επιπλέον, θα πρέπει να ενισχυθούν οι αποκεντρωμένες δομές στο μελλοντικό ενεργειακό σύστημα. Αυτό θα αυξήσει τη ζήτηση π.χ. για συσσωρευτές, θα δημιουργήσει οικονομίες κλίμακας και θα καταστήσει τις τιμές των συσσωρευτών ελκυστικές.</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t>Σχετικά με το κεφάλαιο «Η Ενεργειακή Ένωση σε μια ευρύτερη προοπτική της Πράσινης Συμφωνίας» στην έκθεση για την κατάσταση της Ενεργειακής Ένωσης</w:t>
      </w:r>
    </w:p>
    <w:p w:rsidRPr="00DC308B" w:rsidR="00685417" w:rsidP="00646DA7" w:rsidRDefault="00685417" w14:paraId="70074E1C" w14:textId="77777777">
      <w:pPr>
        <w:keepNext/>
        <w:keepLines/>
      </w:pPr>
    </w:p>
    <w:p w:rsidRPr="00DC308B" w:rsidR="00685417" w:rsidP="00500770" w:rsidRDefault="00685417" w14:paraId="634C81A1" w14:textId="03F7D60C">
      <w:pPr>
        <w:pStyle w:val="Heading2"/>
        <w:rPr>
          <w:noProof/>
        </w:rPr>
      </w:pPr>
      <w:r>
        <w:t xml:space="preserve">Η ΕΟΚΕ υποστηρίζει τις προσπάθειες της Επιτροπής για μια διεθνή φιλόδοξη συμφωνία σχετικά με τη δράση για το κλίμα. Ως εκ τούτου, η καθιέρωση αντισταθμιστικού δασμού σε συνδυασμό με μια περισσότερο φιλόδοξη και πιο συγκεκριμένη μέριμνα για τη δράση για το </w:t>
      </w:r>
      <w:r>
        <w:lastRenderedPageBreak/>
        <w:t>κλίμα (και άλλους στόχους βιωσιμότητας) είναι αναγκαία στο πλαίσιο των διεθνών εμπορικών συμφωνιών</w:t>
      </w:r>
      <w:r w:rsidRPr="00DC308B">
        <w:rPr>
          <w:noProof/>
          <w:sz w:val="24"/>
          <w:szCs w:val="24"/>
          <w:vertAlign w:val="superscript"/>
        </w:rPr>
        <w:footnoteReference w:id="15"/>
      </w:r>
      <w:r>
        <w:t>.</w:t>
      </w:r>
    </w:p>
    <w:p w:rsidRPr="00DC308B" w:rsidR="00685417" w:rsidP="00685417" w:rsidRDefault="00685417" w14:paraId="0915E844" w14:textId="77777777"/>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Σχετικά με την ανακοίνωση για την αξιολόγηση των ΕΣΕΚ</w:t>
      </w:r>
    </w:p>
    <w:p w:rsidRPr="00DC308B" w:rsidR="00685417" w:rsidP="00DC308B" w:rsidRDefault="00685417" w14:paraId="3DC91D1E" w14:textId="77777777">
      <w:pPr>
        <w:keepNext/>
      </w:pPr>
    </w:p>
    <w:p w:rsidRPr="00DC308B" w:rsidR="00685417" w:rsidP="00500770" w:rsidRDefault="00685417" w14:paraId="676EDE10" w14:textId="0CB6943E">
      <w:pPr>
        <w:pStyle w:val="Heading2"/>
        <w:rPr>
          <w:noProof/>
        </w:rPr>
      </w:pPr>
      <w:r>
        <w:t xml:space="preserve">Η ΕΟΚΕ δεν κατανοεί για ποιον λόγο η Επιτροπή περιορίζει την κριτική της στην ανεπαρκή αξιολόγηση του δυναμικού των ανανεώσιμων πηγών ενέργειας στον υπεράκτιο τομέα. Καλεί την Επιτροπή να πάψει να προωθεί μονομερώς τις υπεράκτιες τεχνολογίες εις βάρος των χερσαίων φωτοβολταϊκών εγκαταστάσεων και των εγκαταστάσεων παραγωγής αιολικής ενέργειας και να υποβάλει στρατηγικές για την ανάπτυξη της δεύτερης κατηγορίας τεχνολογιών. </w:t>
      </w:r>
    </w:p>
    <w:p w:rsidRPr="00DC308B" w:rsidR="00685417" w:rsidP="00685417" w:rsidRDefault="00685417" w14:paraId="234A07AC" w14:textId="77777777"/>
    <w:p w:rsidRPr="00DC308B" w:rsidR="00685417" w:rsidP="00500770" w:rsidRDefault="00685417" w14:paraId="6A150EA0" w14:textId="4EC59E53">
      <w:pPr>
        <w:pStyle w:val="Heading2"/>
      </w:pPr>
      <w:r>
        <w:t>Η ΕΟΚΕ συμφωνεί με την Επιτροπή αναφορικά με το δυναμικό των ανανεώσιμων πηγών ενέργειας για τη δημιουργία θέσεων εργασίας. Ωστόσο, επισημαίνει ότι η πλήρης αξιοποίηση αυτού του δυναμικού δεν θα γίνει αυτομάτως αλλά ότι απαιτείται ενεργός πολιτική, ιδίως όσον αφορά την ποιότητα των θέσεων εργασίας. Σε αυτό το πλαίσιο είναι εντελώς ακατανόητο γιατί η Επιτροπή εφιστά τόσο λίγη προσοχή στις τεχνολογίες των φωτοβολταϊκών, τη στιγμή που αυτές αποτελούν τον τομέα με τη μεγαλύτερη ένταση απασχόλησης, όπως αναφέρεται στην ανακοίνωση.</w:t>
      </w:r>
    </w:p>
    <w:p w:rsidRPr="00DC308B" w:rsidR="00685417" w:rsidP="00685417" w:rsidRDefault="00685417" w14:paraId="44DEF25B" w14:textId="77777777"/>
    <w:p w:rsidRPr="00DC308B" w:rsidR="00685417" w:rsidP="00500770" w:rsidRDefault="00685417" w14:paraId="38046BEB" w14:textId="6B6188E1">
      <w:pPr>
        <w:pStyle w:val="Heading2"/>
      </w:pPr>
      <w:r>
        <w:t>Η ΕΟΚΕ καλεί την Επιτροπή να συντάξει τους κανόνες για τις προσκλήσεις υποβολής προσφορών στο πλαίσιο της επικείμενης αναθεώρησης της οδηγίας για την ενέργεια από ανανεώσιμες πηγές κατά τέτοιον τρόπο, ώστε να διευκολυνθεί η συμμετοχή των κοινοτήτων ανανεώσιμων πηγών ενέργειας και των ΜΜΕ.</w:t>
      </w:r>
    </w:p>
    <w:p w:rsidRPr="00DC308B" w:rsidR="00685417" w:rsidP="00685417" w:rsidRDefault="00685417" w14:paraId="1CACEE90" w14:textId="77777777"/>
    <w:p w:rsidRPr="00DC308B" w:rsidR="00685417" w:rsidP="00500770" w:rsidRDefault="00685417" w14:paraId="3148DC23" w14:textId="77777777">
      <w:pPr>
        <w:pStyle w:val="Heading2"/>
      </w:pPr>
      <w:r>
        <w:t>Η ΕΟΚΕ συμφωνεί με την Επιτροπή ότι είναι σκόπιμο να πραγματοποιηθούν επειγόντως επενδύσεις σε συστήματα τηλεθέρμανσης χαμηλής θερμοκρασίας. Θα πρέπει να δρομολογηθεί σχετική πρωτοβουλία.</w:t>
      </w:r>
    </w:p>
    <w:p w:rsidRPr="00DC308B" w:rsidR="00685417" w:rsidP="00685417" w:rsidRDefault="00685417" w14:paraId="5331EBAD" w14:textId="77777777"/>
    <w:p w:rsidRPr="00DC308B" w:rsidR="00685417" w:rsidP="00500770" w:rsidRDefault="00685417" w14:paraId="3D2B3832" w14:textId="3F39BEB3">
      <w:pPr>
        <w:pStyle w:val="Heading2"/>
      </w:pPr>
      <w:r>
        <w:t>Οι καταβόθρες άνθρακα αποτελούν σημαντικό μέσο της δράσης για το κλίμα. Ωστόσο, η ανησυχία που διατυπώνεται στα ΕΣΕΚ των κρατών μελών για την αύξηση των φυσικών διαταραχών πρέπει να ληφθεί σοβαρά υπόψη. Ως εκ τούτου, οι πιστώσεις LULUCF θα πρέπει να συνεχίσουν να λαμβάνονται υπόψη συμπληρωματικά μόνο στις υπόλοιπες επιλογές της δράσης για το κλίμα.</w:t>
      </w:r>
    </w:p>
    <w:p w:rsidR="00685417" w:rsidP="00685417" w:rsidRDefault="00685417" w14:paraId="0660F0E8" w14:textId="1ECD62CB"/>
    <w:p w:rsidR="00AB3327" w:rsidP="00AB3327" w:rsidRDefault="00AB3327" w14:paraId="45BADF80" w14:textId="044EA587">
      <w:pPr>
        <w:outlineLvl w:val="1"/>
      </w:pPr>
      <w:r>
        <w:t>Βρυξέλλες, 24 Μαρτίου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pPr>
      <w:r>
        <w:t>Christa SCHWENG</w:t>
      </w:r>
    </w:p>
    <w:p w:rsidRPr="00CA4297" w:rsidR="00AB3327" w:rsidP="00AB3327" w:rsidRDefault="00482A20" w14:paraId="6B9A2D25" w14:textId="29261795">
      <w:r>
        <w:rPr>
          <w:color w:val="333333"/>
          <w:shd w:val="clear" w:color="auto" w:fill="FFFFFF"/>
        </w:rPr>
        <w:t>Πρόεδρος της Ευρωπαϊκής Οικονομικής και Κοινωνικής Επιτροπής</w:t>
      </w:r>
    </w:p>
    <w:p w:rsidRPr="00DC308B" w:rsidR="00646AC2" w:rsidP="00BC3F01" w:rsidRDefault="00646AC2" w14:paraId="5B3BE5E5" w14:textId="77777777">
      <w:pPr>
        <w:jc w:val="center"/>
      </w:pPr>
      <w:r>
        <w:t>_____________</w:t>
      </w:r>
    </w:p>
    <w:sectPr w:rsidRPr="00DC308B" w:rsidR="00646AC2" w:rsidSect="00E1661D">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EE02C" w14:textId="77777777" w:rsidR="00E1661D" w:rsidRPr="00E1661D" w:rsidRDefault="00E1661D" w:rsidP="00E166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1565F55D" w:rsidR="00024C5A" w:rsidRPr="00E1661D" w:rsidRDefault="00E1661D" w:rsidP="00E1661D">
    <w:pPr>
      <w:pStyle w:val="Footer"/>
    </w:pPr>
    <w:r>
      <w:t xml:space="preserve">TEN/724 – EESC-2020-04915-00-01-AC-TRA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15</w:instrText>
      </w:r>
    </w:fldSimple>
    <w:r>
      <w:instrText xml:space="preserve"> -0 </w:instrText>
    </w:r>
    <w:r>
      <w:fldChar w:fldCharType="separate"/>
    </w:r>
    <w:r>
      <w:rPr>
        <w:noProof/>
      </w:rPr>
      <w:t>15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E3E9A" w14:textId="77777777" w:rsidR="00E1661D" w:rsidRPr="00E1661D" w:rsidRDefault="00E1661D" w:rsidP="00E166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E1661D" w:rsidRDefault="00024C5A" w:rsidP="00E1661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0B4AA3F1" w:rsidR="00024C5A" w:rsidRPr="00E1661D" w:rsidRDefault="00E1661D" w:rsidP="00E1661D">
    <w:pPr>
      <w:pStyle w:val="Footer"/>
    </w:pPr>
    <w:r>
      <w:t xml:space="preserve">TEN/724 – EESC-2020-04915-00-01-AC-TRA (EN) </w:t>
    </w:r>
    <w:r>
      <w:fldChar w:fldCharType="begin"/>
    </w:r>
    <w:r>
      <w:instrText xml:space="preserve"> PAGE  \* Arabic  \* MERGEFORMAT </w:instrText>
    </w:r>
    <w:r>
      <w:fldChar w:fldCharType="separate"/>
    </w:r>
    <w:r>
      <w:rPr>
        <w:noProof/>
      </w:rPr>
      <w:t>15</w:t>
    </w:r>
    <w:r>
      <w:fldChar w:fldCharType="end"/>
    </w:r>
    <w:r>
      <w:t>/</w:t>
    </w:r>
    <w:r>
      <w:fldChar w:fldCharType="begin"/>
    </w:r>
    <w:r>
      <w:instrText xml:space="preserve"> = </w:instrText>
    </w:r>
    <w:fldSimple w:instr=" NUMPAGES ">
      <w:r>
        <w:rPr>
          <w:noProof/>
        </w:rPr>
        <w:instrText>15</w:instrText>
      </w:r>
    </w:fldSimple>
    <w:r>
      <w:instrText xml:space="preserve"> -0 </w:instrText>
    </w:r>
    <w:r>
      <w:fldChar w:fldCharType="separate"/>
    </w:r>
    <w:r>
      <w:rPr>
        <w:noProof/>
      </w:rPr>
      <w:t>15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E1661D" w:rsidRDefault="00024C5A" w:rsidP="00E16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r>
        <w:t>.</w:t>
      </w:r>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 Παράρτημα 2</w:t>
        </w:r>
      </w:hyperlink>
      <w:r>
        <w:t>.</w:t>
      </w:r>
    </w:p>
  </w:footnote>
  <w:footnote w:id="3">
    <w:p w14:paraId="1AE824D7" w14:textId="7403A7F0" w:rsidR="00024C5A" w:rsidRPr="009604B4" w:rsidRDefault="00024C5A" w:rsidP="00DF21DA">
      <w:pPr>
        <w:pStyle w:val="FootnoteText"/>
      </w:pPr>
      <w:r>
        <w:footnoteRef/>
      </w:r>
      <w:r>
        <w:tab/>
        <w:t>Στοιχείο που προκαλεί κατάπληξη αφού, για περισσότερα από 30 χρόνια, γίνεται λόγος για την ανάγκη μείωσης των ζημιογόνων για το περιβάλλον επιδοτήσεων στην ΕΕ.</w:t>
      </w:r>
    </w:p>
  </w:footnote>
  <w:footnote w:id="4">
    <w:p w14:paraId="0AD2F20D" w14:textId="20ECBCC5" w:rsidR="00024C5A" w:rsidRPr="00C879CB" w:rsidRDefault="00024C5A" w:rsidP="00392EF1">
      <w:pPr>
        <w:pStyle w:val="FootnoteText"/>
      </w:pPr>
      <w:r>
        <w:rPr>
          <w:sz w:val="24"/>
          <w:szCs w:val="24"/>
          <w:vertAlign w:val="superscript"/>
        </w:rPr>
        <w:footnoteRef/>
      </w:r>
      <w:r>
        <w:tab/>
        <w:t>Και η γερμανική Προεδρία του Συμβουλίου.</w:t>
      </w:r>
    </w:p>
  </w:footnote>
  <w:footnote w:id="5">
    <w:p w14:paraId="599C8B67" w14:textId="46E239DB" w:rsidR="00024C5A" w:rsidRDefault="00024C5A" w:rsidP="00392EF1">
      <w:pPr>
        <w:pStyle w:val="FootnoteText"/>
      </w:pPr>
      <w:r>
        <w:rPr>
          <w:sz w:val="24"/>
          <w:szCs w:val="24"/>
          <w:vertAlign w:val="superscript"/>
        </w:rPr>
        <w:footnoteRef/>
      </w:r>
      <w:r>
        <w:tab/>
      </w:r>
      <w:hyperlink r:id="rId3" w:history="1">
        <w:r>
          <w:rPr>
            <w:rStyle w:val="Hyperlink"/>
          </w:rPr>
          <w:t>ΕΕ C 47 της 18.10.2019, σ. 30</w:t>
        </w:r>
      </w:hyperlink>
      <w:r>
        <w:t xml:space="preserve">, </w:t>
      </w:r>
      <w:hyperlink r:id="rId4" w:history="1">
        <w:r>
          <w:rPr>
            <w:rStyle w:val="Hyperlink"/>
          </w:rPr>
          <w:t>ΕΕ C 62 της 28.10.2020, σ. 269</w:t>
        </w:r>
      </w:hyperlink>
    </w:p>
  </w:footnote>
  <w:footnote w:id="6">
    <w:p w14:paraId="659CCE79" w14:textId="76C2E3F6" w:rsidR="00024C5A" w:rsidRDefault="00024C5A" w:rsidP="009604B4">
      <w:pPr>
        <w:pStyle w:val="FootnoteText"/>
        <w:keepLines w:val="0"/>
      </w:pPr>
      <w:r>
        <w:rPr>
          <w:sz w:val="24"/>
          <w:szCs w:val="24"/>
          <w:vertAlign w:val="superscript"/>
        </w:rPr>
        <w:footnoteRef/>
      </w:r>
      <w:r>
        <w:t xml:space="preserve"> </w:t>
      </w:r>
      <w:r>
        <w:tab/>
      </w:r>
      <w:hyperlink r:id="rId5" w:history="1">
        <w:r>
          <w:rPr>
            <w:rStyle w:val="Hyperlink"/>
          </w:rPr>
          <w:t>ΕΕ C 429 της 11.12.2020, σ. 85</w:t>
        </w:r>
      </w:hyperlink>
      <w:r>
        <w:t>.</w:t>
      </w:r>
    </w:p>
  </w:footnote>
  <w:footnote w:id="7">
    <w:p w14:paraId="2D5D8D92" w14:textId="6127B118" w:rsidR="00311BE2" w:rsidRDefault="00311BE2" w:rsidP="009604B4">
      <w:pPr>
        <w:pStyle w:val="FootnoteText"/>
        <w:keepLines w:val="0"/>
      </w:pPr>
      <w:r>
        <w:rPr>
          <w:sz w:val="24"/>
          <w:szCs w:val="24"/>
          <w:vertAlign w:val="superscript"/>
        </w:rPr>
        <w:footnoteRef/>
      </w:r>
      <w:r>
        <w:tab/>
      </w:r>
      <w:hyperlink r:id="rId6" w:history="1">
        <w:r>
          <w:rPr>
            <w:rStyle w:val="Hyperlink"/>
          </w:rPr>
          <w:t>COM(2015) 80 final, σ. 13.</w:t>
        </w:r>
      </w:hyperlink>
    </w:p>
  </w:footnote>
  <w:footnote w:id="8">
    <w:p w14:paraId="3E17A2AB" w14:textId="4AC1D091" w:rsidR="00024C5A" w:rsidRDefault="00024C5A" w:rsidP="009604B4">
      <w:pPr>
        <w:pStyle w:val="FootnoteText"/>
        <w:keepLines w:val="0"/>
      </w:pPr>
      <w:r>
        <w:rPr>
          <w:sz w:val="24"/>
          <w:szCs w:val="24"/>
          <w:vertAlign w:val="superscript"/>
        </w:rPr>
        <w:footnoteRef/>
      </w:r>
      <w:r>
        <w:t xml:space="preserve"> </w:t>
      </w:r>
      <w:r>
        <w:tab/>
      </w:r>
      <w:hyperlink r:id="rId7" w:history="1">
        <w:r>
          <w:rPr>
            <w:rStyle w:val="Hyperlink"/>
          </w:rPr>
          <w:t>ΕΕ C 429 της 11.12.2020, σ. 85</w:t>
        </w:r>
      </w:hyperlink>
      <w:r>
        <w:t>.</w:t>
      </w:r>
    </w:p>
  </w:footnote>
  <w:footnote w:id="9">
    <w:p w14:paraId="3F4602BC" w14:textId="086B2545" w:rsidR="00311BE2" w:rsidRDefault="00311BE2" w:rsidP="00311BE2">
      <w:pPr>
        <w:ind w:left="567" w:hanging="567"/>
      </w:pPr>
      <w:r>
        <w:rPr>
          <w:sz w:val="24"/>
          <w:szCs w:val="24"/>
          <w:vertAlign w:val="superscript"/>
        </w:rPr>
        <w:footnoteRef/>
      </w:r>
      <w:r>
        <w:tab/>
      </w:r>
      <w:r>
        <w:rPr>
          <w:sz w:val="16"/>
        </w:rPr>
        <w:t xml:space="preserve">Πρβλ. Hirschl, B., Aretz, A., Bost, M., Tapia, M., &amp; Gößling-Reisemann, S. (2018): </w:t>
      </w:r>
      <w:r>
        <w:rPr>
          <w:i/>
          <w:iCs/>
          <w:sz w:val="16"/>
        </w:rPr>
        <w:t>Vulnerabilität und Resilienz des digitalen Stromsystems</w:t>
      </w:r>
      <w:r>
        <w:rPr>
          <w:sz w:val="16"/>
        </w:rPr>
        <w:t xml:space="preserve"> (Ευπάθεια και ανθεκτικότητα του ψηφιακού συστήματος ηλεκτρικής ενέργειας). Schlussbericht. Βερολίνο, Βρέμη, διαθέσιμο στη διεύθυνση:</w:t>
      </w:r>
      <w:r>
        <w:t xml:space="preserve"> </w:t>
      </w:r>
      <w:hyperlink r:id="rId8" w:history="1">
        <w:r>
          <w:rPr>
            <w:rStyle w:val="Hyperlink"/>
            <w:sz w:val="16"/>
          </w:rPr>
          <w:t>www.strom-resilienz.de</w:t>
        </w:r>
      </w:hyperlink>
    </w:p>
  </w:footnote>
  <w:footnote w:id="10">
    <w:p w14:paraId="37AA1ADA" w14:textId="62F7D6C0" w:rsidR="000B2261" w:rsidRDefault="000B2261" w:rsidP="000B2261">
      <w:pPr>
        <w:pStyle w:val="FootnoteText"/>
      </w:pPr>
      <w:r>
        <w:rPr>
          <w:sz w:val="24"/>
          <w:szCs w:val="24"/>
          <w:vertAlign w:val="superscript"/>
        </w:rPr>
        <w:footnoteRef/>
      </w:r>
      <w:r>
        <w:t xml:space="preserve"> </w:t>
      </w:r>
      <w:r>
        <w:tab/>
      </w:r>
      <w:hyperlink r:id="rId9" w:history="1">
        <w:r>
          <w:rPr>
            <w:rStyle w:val="Hyperlink"/>
          </w:rPr>
          <w:t>ΕΕ C 123 της 9.4. 2021, σ. 30</w:t>
        </w:r>
      </w:hyperlink>
      <w:r>
        <w:t>.</w:t>
      </w:r>
    </w:p>
  </w:footnote>
  <w:footnote w:id="11">
    <w:p w14:paraId="13D4EF52" w14:textId="6430A19A" w:rsidR="000B2261" w:rsidRDefault="000B2261" w:rsidP="000B2261">
      <w:pPr>
        <w:pStyle w:val="FootnoteText"/>
      </w:pPr>
      <w:r>
        <w:rPr>
          <w:sz w:val="24"/>
          <w:szCs w:val="24"/>
          <w:vertAlign w:val="superscript"/>
        </w:rPr>
        <w:footnoteRef/>
      </w:r>
      <w:r>
        <w:t xml:space="preserve"> </w:t>
      </w:r>
      <w:r>
        <w:tab/>
      </w:r>
      <w:hyperlink r:id="rId10" w:history="1">
        <w:r>
          <w:rPr>
            <w:rStyle w:val="Hyperlink"/>
          </w:rPr>
          <w:t>ΕΕ C 123 της 9.4. 2021, σ. 22</w:t>
        </w:r>
      </w:hyperlink>
      <w:r>
        <w:t>.</w:t>
      </w:r>
    </w:p>
  </w:footnote>
  <w:footnote w:id="12">
    <w:p w14:paraId="491E1C95" w14:textId="1E933435" w:rsidR="00024C5A" w:rsidRDefault="00024C5A" w:rsidP="00685417">
      <w:pPr>
        <w:pStyle w:val="FootnoteText"/>
      </w:pPr>
      <w:r>
        <w:rPr>
          <w:sz w:val="24"/>
          <w:szCs w:val="24"/>
          <w:vertAlign w:val="superscript"/>
        </w:rPr>
        <w:footnoteRef/>
      </w:r>
      <w:r>
        <w:t xml:space="preserve"> </w:t>
      </w:r>
      <w:r>
        <w:tab/>
      </w:r>
      <w:hyperlink r:id="rId11" w:history="1">
        <w:r>
          <w:rPr>
            <w:rStyle w:val="Hyperlink"/>
          </w:rPr>
          <w:t>ΕΕ C 82 της 3.3. 2016, σ. 13</w:t>
        </w:r>
      </w:hyperlink>
      <w:r>
        <w:t>.</w:t>
      </w:r>
    </w:p>
  </w:footnote>
  <w:footnote w:id="13">
    <w:p w14:paraId="288B3287" w14:textId="01145047" w:rsidR="00135E40" w:rsidRDefault="00135E40" w:rsidP="00135E40">
      <w:pPr>
        <w:pStyle w:val="FootnoteText"/>
      </w:pPr>
      <w:r>
        <w:rPr>
          <w:sz w:val="24"/>
          <w:szCs w:val="24"/>
          <w:vertAlign w:val="superscript"/>
        </w:rPr>
        <w:footnoteRef/>
      </w:r>
      <w:r>
        <w:t xml:space="preserve"> </w:t>
      </w:r>
      <w:r>
        <w:tab/>
      </w:r>
      <w:hyperlink r:id="rId12" w:history="1">
        <w:r>
          <w:rPr>
            <w:rStyle w:val="Hyperlink"/>
          </w:rPr>
          <w:t>ΕΕ C 364 της 28.10.2020, σ. 158</w:t>
        </w:r>
      </w:hyperlink>
      <w:r>
        <w:t>.</w:t>
      </w:r>
    </w:p>
  </w:footnote>
  <w:footnote w:id="14">
    <w:p w14:paraId="5632850A" w14:textId="03585AAF" w:rsidR="00024C5A" w:rsidRDefault="00024C5A" w:rsidP="00685417">
      <w:pPr>
        <w:pStyle w:val="FootnoteText"/>
      </w:pPr>
      <w:r>
        <w:rPr>
          <w:sz w:val="24"/>
          <w:szCs w:val="24"/>
          <w:vertAlign w:val="superscript"/>
        </w:rPr>
        <w:footnoteRef/>
      </w:r>
      <w:r>
        <w:t xml:space="preserve"> </w:t>
      </w:r>
      <w:r>
        <w:tab/>
      </w:r>
      <w:hyperlink r:id="rId13" w:history="1">
        <w:r>
          <w:rPr>
            <w:rStyle w:val="Hyperlink"/>
          </w:rPr>
          <w:t>ΕΕ C 288 της 31.8. 2017, σ. 91</w:t>
        </w:r>
      </w:hyperlink>
      <w:r>
        <w:t>.</w:t>
      </w:r>
    </w:p>
  </w:footnote>
  <w:footnote w:id="15">
    <w:p w14:paraId="6B26B08A" w14:textId="6F9BA977" w:rsidR="00024C5A" w:rsidRDefault="00024C5A" w:rsidP="00685417">
      <w:pPr>
        <w:pStyle w:val="FootnoteText"/>
      </w:pPr>
      <w:r>
        <w:rPr>
          <w:sz w:val="24"/>
          <w:szCs w:val="24"/>
          <w:vertAlign w:val="superscript"/>
        </w:rPr>
        <w:footnoteRef/>
      </w:r>
      <w:r>
        <w:t xml:space="preserve"> </w:t>
      </w:r>
      <w:r>
        <w:tab/>
      </w:r>
      <w:hyperlink r:id="rId14" w:history="1">
        <w:r>
          <w:rPr>
            <w:rStyle w:val="Hyperlink"/>
          </w:rPr>
          <w:t>ΕΕ C 81 της 2.3. 2018, σ.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B5115" w14:textId="77777777" w:rsidR="00E1661D" w:rsidRPr="00E1661D" w:rsidRDefault="00E1661D" w:rsidP="00E166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40521" w14:textId="77777777" w:rsidR="00E1661D" w:rsidRPr="00E1661D" w:rsidRDefault="00E1661D" w:rsidP="00E166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37D82" w14:textId="77777777" w:rsidR="00E1661D" w:rsidRPr="00E1661D" w:rsidRDefault="00E1661D" w:rsidP="00E166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E1661D" w:rsidRDefault="00024C5A" w:rsidP="00E166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E1661D" w:rsidRDefault="00024C5A" w:rsidP="00E1661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E1661D" w:rsidRDefault="00024C5A" w:rsidP="00E166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464E893C"/>
    <w:lvl w:ilvl="0" w:tplc="49801416">
      <w:start w:val="1"/>
      <mc:AlternateContent>
        <mc:Choice Requires="w14">
          <w:numFmt w:val="custom" w:format="α, β, γ, ..."/>
        </mc:Choice>
        <mc:Fallback>
          <w:numFmt w:val="decimal"/>
        </mc:Fallback>
      </mc:AlternateContent>
      <w:lvlText w:val="%1)"/>
      <w:lvlJc w:val="left"/>
      <w:pPr>
        <w:ind w:left="720" w:hanging="360"/>
      </w:pPr>
    </w:lvl>
    <w:lvl w:ilvl="1" w:tplc="BD6A0F60" w:tentative="1">
      <w:start w:val="1"/>
      <mc:AlternateContent>
        <mc:Choice Requires="w14">
          <w:numFmt w:val="custom" w:format="α, β, γ, ..."/>
        </mc:Choice>
        <mc:Fallback>
          <w:numFmt w:val="decimal"/>
        </mc:Fallback>
      </mc:AlternateContent>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924E1C70" w:tentative="1">
      <w:start w:val="1"/>
      <mc:AlternateContent>
        <mc:Choice Requires="w14">
          <w:numFmt w:val="custom" w:format="α, β, γ, ..."/>
        </mc:Choice>
        <mc:Fallback>
          <w:numFmt w:val="decimal"/>
        </mc:Fallback>
      </mc:AlternateContent>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2684F708" w:tentative="1">
      <w:start w:val="1"/>
      <mc:AlternateContent>
        <mc:Choice Requires="w14">
          <w:numFmt w:val="custom" w:format="α, β, γ, ..."/>
        </mc:Choice>
        <mc:Fallback>
          <w:numFmt w:val="decimal"/>
        </mc:Fallback>
      </mc:AlternateContent>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8F0"/>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1661D"/>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l-GR"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l-GR" w:eastAsia="en-US" w:bidi="ar-SA"/>
    </w:rPr>
  </w:style>
  <w:style w:type="character" w:customStyle="1" w:styleId="Heading2Char">
    <w:name w:val="Heading 2 Char"/>
    <w:basedOn w:val="DefaultParagraphFont"/>
    <w:link w:val="Heading2"/>
    <w:locked/>
    <w:rsid w:val="00CB1536"/>
    <w:rPr>
      <w:lang w:val="el-GR" w:eastAsia="en-US" w:bidi="ar-SA"/>
    </w:rPr>
  </w:style>
  <w:style w:type="character" w:customStyle="1" w:styleId="Heading3Char">
    <w:name w:val="Heading 3 Char"/>
    <w:basedOn w:val="DefaultParagraphFont"/>
    <w:link w:val="Heading3"/>
    <w:locked/>
    <w:rsid w:val="00CB1536"/>
    <w:rPr>
      <w:lang w:val="el-GR" w:eastAsia="en-US" w:bidi="ar-SA"/>
    </w:rPr>
  </w:style>
  <w:style w:type="character" w:customStyle="1" w:styleId="Heading4Char">
    <w:name w:val="Heading 4 Char"/>
    <w:basedOn w:val="DefaultParagraphFont"/>
    <w:link w:val="Heading4"/>
    <w:locked/>
    <w:rsid w:val="00CB1536"/>
    <w:rPr>
      <w:lang w:val="el-GR" w:eastAsia="en-US" w:bidi="ar-SA"/>
    </w:rPr>
  </w:style>
  <w:style w:type="character" w:customStyle="1" w:styleId="Heading5Char">
    <w:name w:val="Heading 5 Char"/>
    <w:basedOn w:val="DefaultParagraphFont"/>
    <w:link w:val="Heading5"/>
    <w:locked/>
    <w:rsid w:val="00CB1536"/>
    <w:rPr>
      <w:lang w:val="el-GR" w:eastAsia="en-US" w:bidi="ar-SA"/>
    </w:rPr>
  </w:style>
  <w:style w:type="character" w:customStyle="1" w:styleId="Heading6Char">
    <w:name w:val="Heading 6 Char"/>
    <w:basedOn w:val="DefaultParagraphFont"/>
    <w:link w:val="Heading6"/>
    <w:locked/>
    <w:rsid w:val="00CB1536"/>
    <w:rPr>
      <w:lang w:val="el-GR" w:eastAsia="en-US" w:bidi="ar-SA"/>
    </w:rPr>
  </w:style>
  <w:style w:type="character" w:customStyle="1" w:styleId="Heading7Char">
    <w:name w:val="Heading 7 Char"/>
    <w:basedOn w:val="DefaultParagraphFont"/>
    <w:link w:val="Heading7"/>
    <w:locked/>
    <w:rsid w:val="00CB1536"/>
    <w:rPr>
      <w:lang w:val="el-GR" w:eastAsia="en-US" w:bidi="ar-SA"/>
    </w:rPr>
  </w:style>
  <w:style w:type="character" w:customStyle="1" w:styleId="Heading8Char">
    <w:name w:val="Heading 8 Char"/>
    <w:basedOn w:val="DefaultParagraphFont"/>
    <w:link w:val="Heading8"/>
    <w:locked/>
    <w:rsid w:val="00CB1536"/>
    <w:rPr>
      <w:lang w:val="el-GR" w:eastAsia="en-US" w:bidi="ar-SA"/>
    </w:rPr>
  </w:style>
  <w:style w:type="character" w:customStyle="1" w:styleId="Heading9Char">
    <w:name w:val="Heading 9 Char"/>
    <w:basedOn w:val="DefaultParagraphFont"/>
    <w:link w:val="Heading9"/>
    <w:locked/>
    <w:rsid w:val="00CB1536"/>
    <w:rPr>
      <w:lang w:val="el-GR"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el-GR"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el-GR"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EL/TXT/?uri=CELEX:52016AE6895&amp;qid=1613735054011" TargetMode="External"/><Relationship Id="rId3" Type="http://schemas.openxmlformats.org/officeDocument/2006/relationships/hyperlink" Target="http://eur-lex.europa.eu/LexUriServ/LexUriServ.do?uri=OJ:C:2020:047:SOM:EL:HTML" TargetMode="External"/><Relationship Id="rId7" Type="http://schemas.openxmlformats.org/officeDocument/2006/relationships/hyperlink" Target="https://eur-lex.europa.eu/legal-content/EL/TXT/?uri=OJ:C:2020:429:TOC" TargetMode="External"/><Relationship Id="rId12" Type="http://schemas.openxmlformats.org/officeDocument/2006/relationships/hyperlink" Target="https://eur-lex.europa.eu/legal-content/EL/TXT/?uri=CELEX:52020AE3018&amp;qid=1615550202956" TargetMode="External"/><Relationship Id="rId2" Type="http://schemas.openxmlformats.org/officeDocument/2006/relationships/hyperlink" Target="https://eur-lex.europa.eu/legal-content/EL/TXT/?uri=CELEX:52020DC0950&amp;qid=1607524251598" TargetMode="External"/><Relationship Id="rId1" Type="http://schemas.openxmlformats.org/officeDocument/2006/relationships/hyperlink" Target="https://eur-lex.europa.eu/legal-content/EL/TXT/HTML/?uri=CELEX:52015DC0080&amp;from=EL" TargetMode="External"/><Relationship Id="rId6" Type="http://schemas.openxmlformats.org/officeDocument/2006/relationships/hyperlink" Target="file://https:/eur-lex.europa.eu/legal-content/EL/TXT/?uri=CELEX:52015DC0080" TargetMode="External"/><Relationship Id="rId11" Type="http://schemas.openxmlformats.org/officeDocument/2006/relationships/hyperlink" Target="https://eur-lex.europa.eu/legal-content/EL/TXT/?qid=1613734912385&amp;uri=CELEX:52015AE5033" TargetMode="External"/><Relationship Id="rId5" Type="http://schemas.openxmlformats.org/officeDocument/2006/relationships/hyperlink" Target="https://eur-lex.europa.eu/legal-content/EL/TXT/?uri=OJ:C:2020:429:TOC" TargetMode="External"/><Relationship Id="rId10" Type="http://schemas.openxmlformats.org/officeDocument/2006/relationships/hyperlink" Target="https://eur-lex.europa.eu/legal-content/EL/TXT/?uri=uriserv:OJ.C_.2021.123.01.0022.01.ENG&amp;toc=OJ:C:2021:123:TOC" TargetMode="External"/><Relationship Id="rId4" Type="http://schemas.openxmlformats.org/officeDocument/2006/relationships/hyperlink" Target="https://eur-lex.europa.eu/legal-content/EL/TXT/?uri=OJ:C:2019:062:TOC" TargetMode="External"/><Relationship Id="rId9" Type="http://schemas.openxmlformats.org/officeDocument/2006/relationships/hyperlink" Target="https://eur-lex.europa.eu/legal-content/EL/TXT/?uri=uriserv:OJ.C_.2021.123.01.0030.01.ENG&amp;toc=OJ:C:2021:123:TOC" TargetMode="External"/><Relationship Id="rId14" Type="http://schemas.openxmlformats.org/officeDocument/2006/relationships/hyperlink" Target="https://eur-lex.europa.eu/legal-content/EL/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VV634QRNENMJ-592872750-7587</_dlc_DocId>
    <_dlc_DocIdUrl xmlns="cda99570-6012-4083-bfeb-7d32ad1ce1a3">
      <Url>http://dm2016/eesc/2020/_layouts/15/DocIdRedir.aspx?ID=VV634QRNENMJ-592872750-7587</Url>
      <Description>VV634QRNENMJ-592872750-7587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7999FED7-263A-4ABA-8D51-ABD6587DB0CA}"/>
</file>

<file path=customXml/itemProps2.xml><?xml version="1.0" encoding="utf-8"?>
<ds:datastoreItem xmlns:ds="http://schemas.openxmlformats.org/officeDocument/2006/customXml" ds:itemID="{C57667AB-4D96-4953-A765-11CE5D126395}"/>
</file>

<file path=customXml/itemProps3.xml><?xml version="1.0" encoding="utf-8"?>
<ds:datastoreItem xmlns:ds="http://schemas.openxmlformats.org/officeDocument/2006/customXml" ds:itemID="{98DA4F70-FE8D-42E8-B4F9-4F67B0B01A92}"/>
</file>

<file path=customXml/itemProps4.xml><?xml version="1.0" encoding="utf-8"?>
<ds:datastoreItem xmlns:ds="http://schemas.openxmlformats.org/officeDocument/2006/customXml" ds:itemID="{9AB54812-91EE-4516-A3D4-BAA19035B608}"/>
</file>

<file path=docProps/app.xml><?xml version="1.0" encoding="utf-8"?>
<Properties xmlns="http://schemas.openxmlformats.org/officeDocument/2006/extended-properties" xmlns:vt="http://schemas.openxmlformats.org/officeDocument/2006/docPropsVTypes">
  <Template>Styles</Template>
  <TotalTime>3</TotalTime>
  <Pages>15</Pages>
  <Words>5639</Words>
  <Characters>32145</Characters>
  <Application>Microsoft Office Word</Application>
  <DocSecurity>0</DocSecurity>
  <Lines>267</Lines>
  <Paragraphs>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του 2020 σχετικά με την κατάσταση της Ενεργειακής Ένωσης και Αξιολόγηση των εθνικών σχεδίων για την ενέργεια και το κλίμα</dc:title>
  <dc:subject>AC</dc:subject>
  <dc:creator>Emma Nieddu</dc:creator>
  <cp:keywords>EESC-2020-04915-00-01-AC-TRA-EN</cp:keywords>
  <dc:description>Rapporteur: RIBBE - Original language: EN - Date of document: 21/04/2021 - Date of meeting:  - External documents: COM(2020)950-final - Administrator:  RIZZI Alessandro</dc:description>
  <cp:lastModifiedBy>Skarpas Georges</cp:lastModifiedBy>
  <cp:revision>8</cp:revision>
  <cp:lastPrinted>2016-07-15T09:51:00Z</cp:lastPrinted>
  <dcterms:created xsi:type="dcterms:W3CDTF">2021-04-20T14:46:00Z</dcterms:created>
  <dcterms:modified xsi:type="dcterms:W3CDTF">2021-04-21T08:03:00Z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9c671336-cb86-4fac-a73b-b90fb059fb2d</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NL|55c6556c-b4f4-441d-9acf-c498d4f838bd;EN|f2175f21-25d7-44a3-96da-d6a61b075e1b;SK|46d9fce0-ef79-4f71-b89b-cd6aa82426b8;DE|f6b31e5a-26fa-4935-b661-318e46daf27e;PT|50ccc04a-eadd-42ae-a0cb-acaf45f812ba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29;#PT|50ccc04a-eadd-42ae-a0cb-acaf45f812ba;#46;#SK|46d9fce0-ef79-4f71-b89b-cd6aa82426b8;#28;#TEN|5e12260d-3aca-41f8-baf2-ad3d18475f10;#10;#DE|f6b31e5a-26fa-4935-b661-318e46daf27e;#41;#NL|55c6556c-b4f4-441d-9acf-c498d4f838bd;#6;#Final|ea5e6674-7b27-4bac-b091-73adbb394efe;#5;#Unrestricted|826e22d7-d029-4ec0-a450-0c28ff673572;#4;#EN|f2175f21-25d7-44a3-96da-d6a61b075e1b;#2;#TRA|150d2a88-1431-44e6-a8ca-0bb753ab8672;#1;#EESC|422833ec-8d7e-4e65-8e4e-8bed07ffb729;#70;#AC|a4cc1d15-fb08-4679-ad46-e4e0cba5fe92</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38;#EL|6d4f4d51-af9b-4650-94b4-4276bee85c91</vt:lpwstr>
  </property>
  <property fmtid="{D5CDD505-2E9C-101B-9397-08002B2CF9AE}" pid="39" name="_docset_NoMedatataSyncRequired">
    <vt:lpwstr>False</vt:lpwstr>
  </property>
</Properties>
</file>