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4779D7" w14:paraId="5B3BE56A" w14:textId="6E22DF40">
      <w:pPr>
        <w:jc w:val="center"/>
      </w:pPr>
      <w:r>
        <w:rPr>
          <w:noProof/>
          <w:lang w:val="en-US"/>
        </w:rPr>
        <w:drawing>
          <wp:inline distT="0" distB="0" distL="0" distR="0" wp14:anchorId="78D077DE" wp14:editId="306E35C9">
            <wp:extent cx="1792605" cy="1241425"/>
            <wp:effectExtent l="0" t="0" r="0" b="0"/>
            <wp:docPr id="1" name="Picture 1" title="EESCLogo_FI"/>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D72288">
        <w:rPr>
          <w:noProof/>
          <w:sz w:val="20"/>
          <w:lang w:val="en-US"/>
        </w:rPr>
        <mc:AlternateContent>
          <mc:Choice Requires="wps">
            <w:drawing>
              <wp:anchor distT="0" distB="0" distL="114300" distR="114300" simplePos="0" relativeHeight="251658752" behindDoc="1" locked="0" layoutInCell="0" allowOverlap="1" wp14:editId="4ADB9B20"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FI</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Pr>
          <w:b/>
        </w:rPr>
        <w:t>TEN/724</w:t>
      </w:r>
    </w:p>
    <w:p w:rsidRPr="00DC308B" w:rsidR="00563C84" w:rsidP="00BC3F01" w:rsidRDefault="00FE7A9F" w14:paraId="5B3BE56C" w14:textId="3FD6F03D">
      <w:pPr>
        <w:jc w:val="right"/>
      </w:pPr>
      <w:r>
        <w:rPr>
          <w:b/>
        </w:rPr>
        <w:t xml:space="preserve">Energiaunionin tilaa koskeva katsaus 2020 ja </w:t>
      </w:r>
      <w:r>
        <w:rPr>
          <w:b/>
        </w:rPr>
        <w:br/>
        <w:t>kansallisten energia- ja ilmastosuunnitelmien arviointi</w:t>
      </w:r>
    </w:p>
    <w:p w:rsidRPr="00DC308B" w:rsidR="009B30AA" w:rsidP="00BC3F01" w:rsidRDefault="009B30AA" w14:paraId="5B3BE56D" w14:textId="77777777"/>
    <w:p w:rsidRPr="00DC308B" w:rsidR="009B30AA" w:rsidP="00BC3F01" w:rsidRDefault="009B30AA" w14:paraId="5B3BE56E" w14:textId="77777777"/>
    <w:p w:rsidR="00B61C9D" w:rsidP="00FE7A9F" w:rsidRDefault="00550F59" w14:paraId="214CD0F5" w14:textId="30F8BC55">
      <w:pPr>
        <w:jc w:val="center"/>
      </w:pPr>
      <w:r>
        <w:rPr>
          <w:b/>
          <w:sz w:val="28"/>
        </w:rPr>
        <w:t>LAUSUNTO</w:t>
      </w:r>
      <w:r>
        <w:br/>
      </w:r>
      <w:r>
        <w:br/>
        <w:t xml:space="preserve">Euroopan talous- ja sosiaalikomitea </w:t>
      </w:r>
      <w:r>
        <w:br/>
      </w:r>
      <w:r>
        <w:br/>
      </w:r>
      <w:r>
        <w:rPr>
          <w:b/>
        </w:rPr>
        <w:t>Komission kertomus Euroopan parlamentille, neuvostolle, Euroopan talous- ja sosiaalikomitealle ja alueiden komitealle – Energiaunionin ja ilmastotoimien hallinnosta annetun asetuksen (EU) 2018/1999 mukainen energiaunionin tilaa koskeva vuoden 2020 katsaus</w:t>
      </w:r>
    </w:p>
    <w:p w:rsidR="00987A80" w:rsidP="00FE7A9F" w:rsidRDefault="00FE7A9F" w14:paraId="7F5985E8" w14:textId="61FE7B26">
      <w:pPr>
        <w:jc w:val="center"/>
      </w:pPr>
      <w:r>
        <w:t>ja</w:t>
      </w:r>
      <w:r>
        <w:br/>
      </w:r>
      <w:r>
        <w:rPr>
          <w:b/>
        </w:rPr>
        <w:t>Komission tiedonanto Euroopan parlamentille, neuvostolle, Euroopan talous- ja sosiaalikomitealle ja alueiden komitealle – Kansallisten energia- ja ilmastosuunnitelmien EU:n laajuinen arviointi – Vihreän siirtymän ja talouden elpymisen edistäminen yhdennettyjen kansallisten energia- ja ilmastosuunnitelmien avulla</w:t>
      </w:r>
      <w:r>
        <w:rPr>
          <w:b/>
        </w:rPr>
        <w:br/>
      </w:r>
      <w:r>
        <w:t>[COM(2020) 950 final]</w:t>
      </w:r>
    </w:p>
    <w:p w:rsidRPr="00DC308B" w:rsidR="00646AC2" w:rsidP="00FE7A9F" w:rsidRDefault="00987A80" w14:paraId="5B3BE56F" w14:textId="27F86578">
      <w:pPr>
        <w:jc w:val="center"/>
      </w:pPr>
      <w:r>
        <w:t>[COM(2020) 564 final]</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t xml:space="preserve">Esittelijä: </w:t>
      </w:r>
      <w:r>
        <w:rPr>
          <w:b/>
        </w:rPr>
        <w:t>Lutz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2561CA">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DC308B" w:rsidR="0011656A" w:rsidTr="006A16D7" w14:paraId="5B3BE5A6" w14:textId="77777777">
        <w:tc>
          <w:tcPr>
            <w:tcW w:w="4111" w:type="dxa"/>
          </w:tcPr>
          <w:p w:rsidRPr="00DC308B" w:rsidR="0011656A" w:rsidP="00BC3F01" w:rsidRDefault="0090053A" w14:paraId="5B3BE5A4" w14:textId="36EC7404">
            <w:pPr>
              <w:jc w:val="left"/>
            </w:pPr>
            <w:r>
              <w:lastRenderedPageBreak/>
              <w:t xml:space="preserve">Lausuntopyynnöt </w:t>
            </w:r>
          </w:p>
        </w:tc>
        <w:tc>
          <w:tcPr>
            <w:tcW w:w="4962" w:type="dxa"/>
          </w:tcPr>
          <w:p w:rsidRPr="00DC308B" w:rsidR="0011656A" w:rsidRDefault="00E271C6" w14:paraId="5B3BE5A5" w14:textId="57DECFAF">
            <w:pPr>
              <w:jc w:val="left"/>
            </w:pPr>
            <w:r>
              <w:t>Euroopan komissio: 11/11/2020 ja 27/11/2020</w:t>
            </w:r>
          </w:p>
        </w:tc>
      </w:tr>
      <w:tr w:rsidRPr="00DC308B" w:rsidR="0016503F" w:rsidTr="006A16D7" w14:paraId="5B3BE5A9" w14:textId="77777777">
        <w:trPr>
          <w:trHeight w:val="251"/>
        </w:trPr>
        <w:tc>
          <w:tcPr>
            <w:tcW w:w="4111" w:type="dxa"/>
          </w:tcPr>
          <w:p w:rsidRPr="00DC308B" w:rsidR="0016503F" w:rsidP="00BC3F01" w:rsidRDefault="0016503F" w14:paraId="5B3BE5A7" w14:textId="77777777">
            <w:pPr>
              <w:jc w:val="left"/>
            </w:pPr>
            <w:r>
              <w:t>Oikeusperusta</w:t>
            </w:r>
          </w:p>
        </w:tc>
        <w:tc>
          <w:tcPr>
            <w:tcW w:w="4962" w:type="dxa"/>
          </w:tcPr>
          <w:p w:rsidRPr="00DC308B" w:rsidR="0016503F" w:rsidP="00DC308B" w:rsidRDefault="0016503F" w14:paraId="5B3BE5A8" w14:textId="3C895295">
            <w:r>
              <w:t>Euroopan unionin toiminnasta tehdyn sopimuksen 304 artikla</w:t>
            </w:r>
          </w:p>
        </w:tc>
      </w:tr>
      <w:tr w:rsidRPr="00DC308B" w:rsidR="00243E36" w:rsidTr="006A16D7" w14:paraId="5B3BE5AF" w14:textId="77777777">
        <w:tc>
          <w:tcPr>
            <w:tcW w:w="4111" w:type="dxa"/>
          </w:tcPr>
          <w:p w:rsidRPr="00DC308B" w:rsidR="00243E36" w:rsidP="00BC3F01" w:rsidRDefault="00243E36" w14:paraId="5B3BE5AD" w14:textId="04655BF1">
            <w:pPr>
              <w:jc w:val="left"/>
            </w:pPr>
          </w:p>
        </w:tc>
        <w:tc>
          <w:tcPr>
            <w:tcW w:w="4962" w:type="dxa"/>
          </w:tcPr>
          <w:p w:rsidRPr="00DC308B" w:rsidR="00243E36" w:rsidP="00734BAF" w:rsidRDefault="00243E36" w14:paraId="5B3BE5AE" w14:textId="4C160908">
            <w:pPr>
              <w:jc w:val="left"/>
            </w:pPr>
          </w:p>
        </w:tc>
      </w:tr>
      <w:tr w:rsidRPr="00DC308B" w:rsidR="00DF5B64" w:rsidTr="006A16D7" w14:paraId="5B3BE5C4" w14:textId="77777777">
        <w:tc>
          <w:tcPr>
            <w:tcW w:w="4111" w:type="dxa"/>
          </w:tcPr>
          <w:p w:rsidRPr="00DC308B" w:rsidR="00DF5B64" w:rsidP="00BC3F01" w:rsidRDefault="00AD4B4F" w14:paraId="5B3BE5C2" w14:textId="77777777">
            <w:pPr>
              <w:jc w:val="left"/>
            </w:pPr>
            <w:r>
              <w:t>Vastaava jaosto</w:t>
            </w:r>
          </w:p>
        </w:tc>
        <w:tc>
          <w:tcPr>
            <w:tcW w:w="4962" w:type="dxa"/>
          </w:tcPr>
          <w:p w:rsidRPr="00DC308B" w:rsidR="00DF5B64" w:rsidP="00DC308B" w:rsidRDefault="004B717F" w14:paraId="5B3BE5C3" w14:textId="6AE91C48">
            <w:r>
              <w:t xml:space="preserve">”liikenne, energia, perusrakenteet, tietoyhteiskunta” </w:t>
            </w:r>
          </w:p>
        </w:tc>
      </w:tr>
      <w:tr w:rsidRPr="00DC308B" w:rsidR="00A156E6" w:rsidTr="006A16D7" w14:paraId="5B3BE5C7" w14:textId="77777777">
        <w:tc>
          <w:tcPr>
            <w:tcW w:w="4111" w:type="dxa"/>
          </w:tcPr>
          <w:p w:rsidRPr="00DC308B" w:rsidR="00A156E6" w:rsidP="00BC3F01" w:rsidRDefault="00A156E6" w14:paraId="5B3BE5C5" w14:textId="77777777">
            <w:pPr>
              <w:jc w:val="left"/>
            </w:pPr>
            <w:r>
              <w:t>Hyväksyminen jaostossa</w:t>
            </w:r>
          </w:p>
        </w:tc>
        <w:tc>
          <w:tcPr>
            <w:tcW w:w="4962" w:type="dxa"/>
          </w:tcPr>
          <w:p w:rsidRPr="00DC308B" w:rsidR="00A156E6" w:rsidRDefault="00DC311E" w14:paraId="5B3BE5C6" w14:textId="0DE01FEF">
            <w:pPr>
              <w:jc w:val="left"/>
            </w:pPr>
            <w:r>
              <w:t>09/03/2021</w:t>
            </w:r>
          </w:p>
        </w:tc>
      </w:tr>
      <w:tr w:rsidRPr="00DC308B" w:rsidR="00A156E6" w:rsidTr="006A16D7" w14:paraId="5B3BE5CA" w14:textId="77777777">
        <w:tc>
          <w:tcPr>
            <w:tcW w:w="4111" w:type="dxa"/>
          </w:tcPr>
          <w:p w:rsidRPr="00DC308B" w:rsidR="00A156E6" w:rsidP="00BC3F01" w:rsidRDefault="00A156E6" w14:paraId="5B3BE5C8" w14:textId="77777777">
            <w:pPr>
              <w:jc w:val="left"/>
            </w:pPr>
            <w:r>
              <w:t>Hyväksyminen täysistunnossa</w:t>
            </w:r>
          </w:p>
        </w:tc>
        <w:tc>
          <w:tcPr>
            <w:tcW w:w="4962" w:type="dxa"/>
          </w:tcPr>
          <w:p w:rsidRPr="00DC308B" w:rsidR="00A156E6" w:rsidP="00F93170" w:rsidRDefault="00DC311E" w14:paraId="5B3BE5C9" w14:textId="1D021756">
            <w:pPr>
              <w:jc w:val="left"/>
            </w:pPr>
            <w:r>
              <w:t>24/03/2021</w:t>
            </w:r>
          </w:p>
        </w:tc>
      </w:tr>
      <w:tr w:rsidRPr="00DC308B" w:rsidR="00BA1290" w:rsidTr="006A16D7" w14:paraId="5B3BE5CD" w14:textId="77777777">
        <w:tc>
          <w:tcPr>
            <w:tcW w:w="4111" w:type="dxa"/>
          </w:tcPr>
          <w:p w:rsidRPr="00DC308B" w:rsidR="00BA1290" w:rsidP="00BC3F01" w:rsidRDefault="00BA1290" w14:paraId="5B3BE5CB" w14:textId="77777777">
            <w:pPr>
              <w:jc w:val="left"/>
            </w:pPr>
            <w:r>
              <w:t>Täysistunnon nro</w:t>
            </w:r>
          </w:p>
        </w:tc>
        <w:tc>
          <w:tcPr>
            <w:tcW w:w="4962" w:type="dxa"/>
          </w:tcPr>
          <w:p w:rsidRPr="00DC308B" w:rsidR="00BA1290" w:rsidP="00BC3F01" w:rsidRDefault="00313E47" w14:paraId="5B3BE5CC" w14:textId="7445F04B">
            <w:pPr>
              <w:jc w:val="left"/>
            </w:pPr>
            <w:r>
              <w:t>559</w:t>
            </w:r>
          </w:p>
        </w:tc>
      </w:tr>
      <w:tr w:rsidRPr="00DC308B" w:rsidR="00A156E6" w:rsidTr="006A16D7" w14:paraId="5B3BE5D0" w14:textId="77777777">
        <w:tc>
          <w:tcPr>
            <w:tcW w:w="4111" w:type="dxa"/>
          </w:tcPr>
          <w:p w:rsidRPr="00DC308B" w:rsidR="00D423D4" w:rsidP="00BC3F01" w:rsidRDefault="0043024C" w14:paraId="5B3BE5CE" w14:textId="0ED6183D">
            <w:pPr>
              <w:jc w:val="left"/>
            </w:pPr>
            <w:r>
              <w:t>Äänestystulos</w:t>
            </w:r>
            <w:r>
              <w:br/>
              <w:t>(puolesta / vastaan / pidättyi äänestämästä)</w:t>
            </w:r>
          </w:p>
        </w:tc>
        <w:tc>
          <w:tcPr>
            <w:tcW w:w="4962" w:type="dxa"/>
            <w:vAlign w:val="bottom"/>
          </w:tcPr>
          <w:p w:rsidRPr="00DC308B" w:rsidR="00A156E6" w:rsidP="002524D5" w:rsidRDefault="00F93170" w14:paraId="5B3BE5CF" w14:textId="4AD1C055">
            <w:pPr>
              <w:jc w:val="left"/>
            </w:pPr>
            <w:r>
              <w:t>236/4/6</w:t>
            </w:r>
          </w:p>
        </w:tc>
      </w:tr>
    </w:tbl>
    <w:p w:rsidRPr="00DC308B" w:rsidR="0090053A" w:rsidP="00BC3F01" w:rsidRDefault="0090053A" w14:paraId="5B3BE5D1" w14:textId="77777777"/>
    <w:p w:rsidRPr="00DC308B" w:rsidR="00646AC2" w:rsidP="00BC3F01" w:rsidRDefault="00646AC2" w14:paraId="5B3BE5D2" w14:textId="77777777">
      <w:r>
        <w:br w:type="page"/>
      </w:r>
    </w:p>
    <w:p w:rsidRPr="00DC308B" w:rsidR="00011D33" w:rsidP="00BC3F01" w:rsidRDefault="00011D33" w14:paraId="5B3BE5D3" w14:textId="77777777">
      <w:pPr>
        <w:pStyle w:val="Heading1"/>
        <w:keepNext/>
        <w:rPr>
          <w:b/>
        </w:rPr>
      </w:pPr>
      <w:r>
        <w:rPr>
          <w:b/>
        </w:rPr>
        <w:lastRenderedPageBreak/>
        <w:t>Päätelmät ja suositukset</w:t>
      </w:r>
    </w:p>
    <w:p w:rsidRPr="00DC308B" w:rsidR="00011D33" w:rsidP="00BC3F01" w:rsidRDefault="00011D33" w14:paraId="5B3BE5D4" w14:textId="77777777">
      <w:pPr>
        <w:keepNext/>
      </w:pPr>
    </w:p>
    <w:p w:rsidRPr="00DC308B" w:rsidR="00896899" w:rsidP="00896899" w:rsidRDefault="00896899" w14:paraId="048AE4BC" w14:textId="3B819771">
      <w:pPr>
        <w:pStyle w:val="Heading2"/>
      </w:pPr>
      <w:r>
        <w:t xml:space="preserve">Euroopan talous- ja sosiaalikomitea (ETSK) on vaikuttunut siitä, miten säntillisesti ja tarkasti komissio dokumentoi ja arvioi energiaunionin kehitystä. Kansallisten energia- ja ilmastosuunnitelmien laadinta- ja arviointitapa osoittaa, että energiaunionin hallinto toimii. </w:t>
      </w:r>
    </w:p>
    <w:p w:rsidRPr="00DC308B" w:rsidR="00896899" w:rsidP="00896899" w:rsidRDefault="00896899" w14:paraId="5F75B2B9" w14:textId="77777777"/>
    <w:p w:rsidRPr="00DC308B" w:rsidR="00896899" w:rsidP="00896899" w:rsidRDefault="00896899" w14:paraId="4156466A" w14:textId="0B8171EA">
      <w:pPr>
        <w:pStyle w:val="Heading2"/>
      </w:pPr>
      <w:r>
        <w:t>ETSK panee helpottuneena merkille, että vaikka jotkin jäsenvaltiot ovat selvästi jäljessä tavoitteista, yleisesti ottaen vuoden 2020 energia- ja ilmastotavoitteet on saavutettu. Tähän ei kuitenkaan pidä tyytyä. Seuraavien 30 vuoden tavoitteet, jotka ovat tähtäimessä 2020-luvulta lähtien, ovat huomattavasti kunnianhimoisempia, ja muutosvauhtia on nopeutettava tuntuvasti. Yksittäisten jäsenvaltioiden sosiaalista ja taloudellista tilannetta ei saisi tässä yhteydessä silti unohtaa, muutoin energiakäänteen vauhdittamiseen tähtäävien investointien ja uudistusten yhteiskunnallinen hyväksyntä vaarantuisi. Energiakäänne vaarantuu myös, jos politiikassa lupaillaan laajojen väestön osien osallisuutta mutta todellisuudessa lupaukseen ei suhtauduta vakavasti eikä sitä lunasteta.</w:t>
      </w:r>
    </w:p>
    <w:p w:rsidRPr="00DC308B" w:rsidR="00896899" w:rsidP="00896899" w:rsidRDefault="00896899" w14:paraId="25D816DE" w14:textId="77777777"/>
    <w:p w:rsidRPr="00DC308B" w:rsidR="00896899" w:rsidP="00896899" w:rsidRDefault="00896899" w14:paraId="6DF20BA0" w14:textId="7CBCBB67">
      <w:pPr>
        <w:pStyle w:val="Heading2"/>
      </w:pPr>
      <w:r>
        <w:t xml:space="preserve">Näin ollen on entistäkin tärkeämpää kiinnittää maailmanlaajuisten (ilmasto)tavoitteiden lisäksi huomiota niihin erityistavoitteisiin, jotka komissio on asettanut itselleen joustavaa energiaunionia koskevassa puitestrategiassa ja ”Puhdasta energiaa kaikille eurooppalaisille” </w:t>
      </w:r>
      <w:r>
        <w:noBreakHyphen/>
        <w:t>säädöspaketissa. Niiden osalta tulos on erittäin paljon huonompi.</w:t>
      </w:r>
    </w:p>
    <w:p w:rsidRPr="00DC308B" w:rsidR="00896899" w:rsidP="00896899" w:rsidRDefault="00896899" w14:paraId="79B4F62D" w14:textId="77777777"/>
    <w:p w:rsidRPr="00DC308B" w:rsidR="00896899" w:rsidP="00896899" w:rsidRDefault="00896899" w14:paraId="2E5522B2" w14:textId="2F4C4DAA">
      <w:pPr>
        <w:pStyle w:val="Heading2"/>
      </w:pPr>
      <w:r>
        <w:t>Komissio toteaa puitestrategiassa, että keskeisenä tavoitteena on asettaa kansalaiset energiaunionin keskiöön. Energiaunionin tilaa käsittelevässä tiedonannossaan se ei kuitenkaan mainitse sanallakaan, miten tämän tavoitteen saavuttamisen laita on ja millaisin strategioin siihen on vastaisuudessa tarkoitus pyrkiä. Tämä on ETSK:n mielestä täysin epäasianmukaista.</w:t>
      </w:r>
    </w:p>
    <w:p w:rsidRPr="00DC308B" w:rsidR="00896899" w:rsidP="00896899" w:rsidRDefault="00896899" w14:paraId="1320D45E" w14:textId="77777777"/>
    <w:p w:rsidRPr="00DC308B" w:rsidR="00896899" w:rsidP="00896899" w:rsidRDefault="00896899" w14:paraId="6D7FDB7C" w14:textId="20141ACE">
      <w:pPr>
        <w:pStyle w:val="Heading2"/>
      </w:pPr>
      <w:r>
        <w:t>Kansallisia energia- ja ilmastosuunnitelmia koskevassa arvioinnissaan komissio katsoo, ettei jäsenvaltioiden suunnitelmissa kiinnitetä riittävästi huomiota yhteisöenergian kehittämiseen. Tämä on huolestuttavaa. On kuitenkin pettymys, että komissio ei mene asiassa sen pidemmälle vaan tyytyy ainoastaan esittämään jäsenvaltioille hyvin yleisluonteisen vetoomuksen. Jos puhtaan energian säädöspaketissa ja energiaunionia koskevassa puitestrategiassa asetetuista kunnianhimoisista tavoitteista ei pidetä tosissaan kiinni, tästä on haittaa muutenkin kuin vain energiaunionin kannalta. Vaakalaudalla on myös EU:n politiikan uskottavuus ylipäätään.</w:t>
      </w:r>
    </w:p>
    <w:p w:rsidRPr="00DC308B" w:rsidR="00896899" w:rsidP="00896899" w:rsidRDefault="00896899" w14:paraId="5D140CDF" w14:textId="77777777"/>
    <w:p w:rsidRPr="00DC308B" w:rsidR="00896899" w:rsidP="00896899" w:rsidRDefault="00896899" w14:paraId="653EA558" w14:textId="77777777">
      <w:pPr>
        <w:pStyle w:val="Heading2"/>
      </w:pPr>
      <w:r>
        <w:t>ETSK katsookin, että komission on tulevissa kertomuksissaan tarkasteltava seikkaperäisemmin kolmannen energiasäädöspaketin täytäntöönpanon, noudattamisen sekä noudattamisen valvonnan tasoa ja laatua jäsenvaltioissa, erityisesti kun on kyse siitä, miten jäsenvaltiot aikovat asettaa kansalaiset toiminnan keskiöön. Energialainsäädännön täytäntöönpanossa on aiemmin ollut viivästyksiä, eikä sitä ole useinkaan hoidettu kansalaisia hyödyttävällä tavalla.</w:t>
      </w:r>
    </w:p>
    <w:p w:rsidRPr="00DC308B" w:rsidR="00896899" w:rsidP="00896899" w:rsidRDefault="00896899" w14:paraId="2F5A151C" w14:textId="77777777"/>
    <w:p w:rsidRPr="00DC308B" w:rsidR="00011D33" w:rsidP="00896899" w:rsidRDefault="00896899" w14:paraId="5B3BE5D5" w14:textId="36611608">
      <w:pPr>
        <w:pStyle w:val="Heading2"/>
      </w:pPr>
      <w:r>
        <w:t xml:space="preserve">Kriittinen tarkastelu on tarpeen myös kolmen muun energiaunioniin liittyvän tavoitteen osalta: energiantuonnin ja näin ollen energiariippuvuuden vähentäminen, ilmaston ja ympäristön kannalta haitallisille energialähteille myönnettävien tukien poistaminen ja johtoaseman ottaminen uusiutuvien energiamuotojen, energiatehokkuuden ja sähköisen liikkuvuuden alalla. Kaikki nämä kolme tavoitetta ovat jääneet saavuttamatta, kuten komission tiedonannoista ilmenee. Syistä ei kuitenkaan puhuta mitään, eikä tiedonannoissa liioin esitetä, mitä näistä </w:t>
      </w:r>
      <w:r>
        <w:lastRenderedPageBreak/>
        <w:t>epäonnistumisista otetaan opiksi ja mitä tästä seuraa jatkotoimia ajatellen, esimerkiksi elpymisrahaston yhteydessä.</w:t>
      </w:r>
    </w:p>
    <w:p w:rsidRPr="00DC308B" w:rsidR="00896899" w:rsidP="0092523D" w:rsidRDefault="00896899" w14:paraId="7184AFC6" w14:textId="1CEB306D"/>
    <w:p w:rsidRPr="00DC308B" w:rsidR="000D6859" w:rsidP="00C146D8" w:rsidRDefault="000D6859" w14:paraId="05AD93C1" w14:textId="45970174">
      <w:pPr>
        <w:pStyle w:val="Heading2"/>
      </w:pPr>
      <w:r>
        <w:t>ETSK:n mielestä jäsenvaltioiden kansalliset energia- ja ilmastosuunnitelmat osoittavat, ettei eurooppalainen energiapolitiikka ole riittävän johdonmukaista. Lisäksi komitea pitää useimpia kansallisia energia- ja ilmastosuunnitelmia liian epämääräisinä, etenkin kun on kyse sellaisista tärkeistä kysymyksistä kuin energiavarmuus ja oikeudenmukainen siirtymä.</w:t>
      </w:r>
    </w:p>
    <w:p w:rsidRPr="00DC308B" w:rsidR="000D6859" w:rsidP="0092523D" w:rsidRDefault="000D6859" w14:paraId="6478A707" w14:textId="77777777"/>
    <w:p w:rsidRPr="00DC308B" w:rsidR="00896899" w:rsidP="00DC308B" w:rsidRDefault="00896899" w14:paraId="46D924C6" w14:textId="25A0851C">
      <w:pPr>
        <w:pStyle w:val="Heading2"/>
        <w:keepNext/>
      </w:pPr>
      <w:r>
        <w:t>ETSK kehottaakin komissiota kiinnittämään kansallisten energia- ja ilmastosuunnitelmien arvioinnissa enemmän huomiota myös oikeudenmukaista siirtymää koskevien strategioiden asianmukaisuuteen ja arvioimaan tässä yhteydessä erityisesti seuraavien tavoitteiden saavuttamista:</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t>työelämän siirtymien helpottaminen</w:t>
      </w:r>
    </w:p>
    <w:p w:rsidRPr="00DC308B" w:rsidR="00896899" w:rsidP="0092523D" w:rsidRDefault="00896899" w14:paraId="277E64A0" w14:textId="00BF0C79">
      <w:pPr>
        <w:pStyle w:val="CommentText"/>
        <w:numPr>
          <w:ilvl w:val="0"/>
          <w:numId w:val="45"/>
        </w:numPr>
        <w:tabs>
          <w:tab w:val="clear" w:pos="0"/>
        </w:tabs>
        <w:spacing w:line="288" w:lineRule="auto"/>
        <w:ind w:left="850"/>
      </w:pPr>
      <w:r>
        <w:rPr>
          <w:sz w:val="22"/>
          <w:szCs w:val="22"/>
        </w:rPr>
        <w:t>hiilestä irtautumisen vuoksi työpaikkansa menettävien työntekijöiden tukeminen (menetetty työpaikka olisi ainakin korvattava muulla vastaavalla työpaikalla)</w:t>
      </w:r>
    </w:p>
    <w:p w:rsidRPr="00DC308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Pr>
          <w:sz w:val="22"/>
          <w:szCs w:val="22"/>
        </w:rPr>
        <w:t>energiaköyhyyden torjuminen ja degressiivisten jakaumavaikutusten kompensointi</w:t>
      </w:r>
    </w:p>
    <w:p w:rsidRPr="00DC308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Pr>
          <w:sz w:val="22"/>
          <w:szCs w:val="22"/>
        </w:rPr>
        <w:t>sellaisten aluetaloudellisten mahdollisuuksien hyödyntäminen, jotka perustuvat uusiutuviin energialähteisiin sekä uudenlaisiin mahdollisuuksiin osallistua sähköntuotantoon ja päästä siitä osalliseksi.</w:t>
      </w:r>
    </w:p>
    <w:p w:rsidRPr="00DC308B" w:rsidR="00011D33" w:rsidP="00F20CA6" w:rsidRDefault="00011D33" w14:paraId="5B3BE5DA" w14:textId="164DDCB1"/>
    <w:p w:rsidRPr="00DC308B" w:rsidR="00011D33" w:rsidP="00BC3F01" w:rsidRDefault="00011D33" w14:paraId="5B3BE5DB" w14:textId="74F84A54">
      <w:pPr>
        <w:pStyle w:val="Heading1"/>
        <w:keepNext/>
        <w:rPr>
          <w:b/>
        </w:rPr>
      </w:pPr>
      <w:r>
        <w:rPr>
          <w:b/>
        </w:rPr>
        <w:t>Yleisiä huomioita komission asiakirjoista</w:t>
      </w:r>
    </w:p>
    <w:p w:rsidRPr="00DC308B" w:rsidR="00011D33" w:rsidP="00BC3F01" w:rsidRDefault="00011D33" w14:paraId="5B3BE5DC" w14:textId="77777777">
      <w:pPr>
        <w:keepNext/>
      </w:pPr>
    </w:p>
    <w:p w:rsidRPr="00DC308B" w:rsidR="00DF21DA" w:rsidP="00DC308B" w:rsidRDefault="00DF21DA" w14:paraId="04751B43" w14:textId="7C80BDB7">
      <w:pPr>
        <w:pStyle w:val="Heading2"/>
        <w:keepNext/>
      </w:pPr>
      <w:r>
        <w:t>Komissio julkaisi 25. helmikuuta 2015 tiedonannon aiheesta ”Joustavaa energiaunionia ja tulevaisuuteen suuntautuvaa ilmastonmuutospolitiikkaa koskeva puitestrategia”</w:t>
      </w:r>
      <w:r w:rsidRPr="00DC308B">
        <w:rPr>
          <w:sz w:val="24"/>
          <w:szCs w:val="24"/>
          <w:vertAlign w:val="superscript"/>
        </w:rPr>
        <w:footnoteReference w:id="1"/>
      </w:r>
      <w:r>
        <w:t xml:space="preserve">. Strategialle asetettiin seuraavat tavoitteet: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t>energiaturvallisuus, mm. vähentämällä riippuvuutta energiantuonnista</w:t>
      </w:r>
    </w:p>
    <w:p w:rsidRPr="00DC308B" w:rsidR="00DF21DA" w:rsidP="00646DA7" w:rsidRDefault="00DF21DA" w14:paraId="1A7661D5" w14:textId="369773CF">
      <w:pPr>
        <w:pStyle w:val="Heading2"/>
        <w:numPr>
          <w:ilvl w:val="0"/>
          <w:numId w:val="42"/>
        </w:numPr>
        <w:ind w:left="927"/>
      </w:pPr>
      <w:r>
        <w:t>täysin yhdentyneet EU:n energiamarkkinat</w:t>
      </w:r>
    </w:p>
    <w:p w:rsidRPr="00DC308B" w:rsidR="00DF21DA" w:rsidP="00646DA7" w:rsidRDefault="00DF21DA" w14:paraId="4A93F03C" w14:textId="77777777">
      <w:pPr>
        <w:pStyle w:val="Heading2"/>
        <w:numPr>
          <w:ilvl w:val="0"/>
          <w:numId w:val="42"/>
        </w:numPr>
        <w:ind w:left="927"/>
      </w:pPr>
      <w:r>
        <w:t xml:space="preserve">kestävä, vähähiilinen ja ilmastoystävällinen talous </w:t>
      </w:r>
    </w:p>
    <w:p w:rsidRPr="00DC308B" w:rsidR="00DF21DA" w:rsidP="00646DA7" w:rsidRDefault="00DF21DA" w14:paraId="28740F0E" w14:textId="38817C2B">
      <w:pPr>
        <w:pStyle w:val="Heading2"/>
        <w:numPr>
          <w:ilvl w:val="0"/>
          <w:numId w:val="42"/>
        </w:numPr>
        <w:ind w:left="927"/>
      </w:pPr>
      <w:r>
        <w:t>tutkimus, innovointi ja kilpailukyky, jotta EU kykenee saavuttamaan maailmanlaajuisen johtoaseman uusiutuvan energian alalla</w:t>
      </w:r>
    </w:p>
    <w:p w:rsidRPr="00DC308B" w:rsidR="00DF21DA" w:rsidP="00646DA7" w:rsidRDefault="00DF21DA" w14:paraId="07725D16" w14:textId="1E57AFBF">
      <w:pPr>
        <w:pStyle w:val="Heading2"/>
        <w:numPr>
          <w:ilvl w:val="0"/>
          <w:numId w:val="42"/>
        </w:numPr>
        <w:ind w:left="927"/>
      </w:pPr>
      <w:r>
        <w:t>eurooppalaisten työntekijöiden kouluttaminen niin, että heillä on tulevaisuuden energiajärjestelmän edellyttämää osaamista</w:t>
      </w:r>
    </w:p>
    <w:p w:rsidRPr="00DC308B" w:rsidR="00345823" w:rsidP="00646DA7" w:rsidRDefault="00DF21DA" w14:paraId="08497E97" w14:textId="4969D608">
      <w:pPr>
        <w:pStyle w:val="Heading2"/>
        <w:numPr>
          <w:ilvl w:val="0"/>
          <w:numId w:val="42"/>
        </w:numPr>
        <w:ind w:left="927"/>
      </w:pPr>
      <w:r>
        <w:t>sijoittajien luottamuksen saavuttaminen pitkän aikavälin tarpeita ja poliittisia tavoitteita kuvastavin hintasignaalein.</w:t>
      </w:r>
    </w:p>
    <w:p w:rsidRPr="00DC308B" w:rsidR="00345823" w:rsidP="006A16D7" w:rsidRDefault="00345823" w14:paraId="068A23B3" w14:textId="4A2F5AAF">
      <w:pPr>
        <w:ind w:left="567" w:hanging="567"/>
      </w:pPr>
    </w:p>
    <w:p w:rsidRPr="00DC308B" w:rsidR="00DF21DA" w:rsidP="00DF21DA" w:rsidRDefault="00DF21DA" w14:paraId="15B6DB12" w14:textId="7907DF24">
      <w:pPr>
        <w:pStyle w:val="Heading2"/>
      </w:pPr>
      <w:r>
        <w:t xml:space="preserve">Komissio totesi tuolloin kuitenkin tähtäävänsä ennen muuta sellaiseen energiaunioniin, ”jonka keskiössä ovat kansalaiset, jotka sitoutuvat energiajärjestelmän muutokseen, saavat uusista teknologioista hyötyä energialaskujensa pienentyessä ja osallistuvat aktiivisesti markkinoiden toimintaan, ja jossa suojellaan heikoimmassa asemassa olevia kuluttajia”. Lisäksi sidosryhmien osallistuminen energiaunionin toteuttamiseen oli komission mukaan ensisijaisen tärkeää ja </w:t>
      </w:r>
      <w:r>
        <w:lastRenderedPageBreak/>
        <w:t>sosiaalisesti oikeudenmukainen siirtymä energiakäänteen onnistumisen edellyttämä perusperiaate.</w:t>
      </w:r>
    </w:p>
    <w:p w:rsidRPr="00DC308B" w:rsidR="00DF21DA" w:rsidP="00DF21DA" w:rsidRDefault="00DF21DA" w14:paraId="5B16D218" w14:textId="4D5BD312"/>
    <w:p w:rsidRPr="00DC308B" w:rsidR="00DF21DA" w:rsidP="00DF21DA" w:rsidRDefault="00DF21DA" w14:paraId="56BD3DDE" w14:textId="2D33C6F4">
      <w:pPr>
        <w:pStyle w:val="Heading2"/>
      </w:pPr>
      <w:r>
        <w:t>Komissio esitti myös, että energiaunionissa tarvitaan yhdennettyä hallinto- ja seurantajärjestelmää. Energiaunionin ja ilmastotoimien hallinnosta annetulla asetuksella (EU) 2018/1999 (”hallintoasetus”) EU loi tarvittavan oikeusperustan tätä varten. Asetuksessa velvoitetaan jäsenvaltiot esittämään säännöllisesti kansalliset energia- ja ilmastosuunnitelmansa, joihin sisältyy myös kuvaus niiden panoksesta energiaunionin tavoitteiden saavuttamiseen.</w:t>
      </w:r>
    </w:p>
    <w:p w:rsidRPr="00DC308B" w:rsidR="00DF21DA" w:rsidP="00DF21DA" w:rsidRDefault="00DF21DA" w14:paraId="79E74D5B" w14:textId="3AE94FE3"/>
    <w:p w:rsidRPr="00DC308B" w:rsidR="00DF21DA" w:rsidP="00DC308B" w:rsidRDefault="00DF21DA" w14:paraId="67165668" w14:textId="32DA7C3F">
      <w:pPr>
        <w:pStyle w:val="Heading2"/>
        <w:keepNext/>
      </w:pPr>
      <w:r>
        <w:t>Energiaunionin tilaa koskevassa vuoden 2020 katsauksessaan komissio esittää nyt yhteenvedon saavutetusta edistyksestä ja ryhmittelee edistysaskeleet seuraavien viiden otsikon alle:</w:t>
      </w:r>
    </w:p>
    <w:p w:rsidRPr="00DC308B" w:rsidR="00DF21DA" w:rsidP="00DC308B" w:rsidRDefault="00DF21DA" w14:paraId="5EFDBC74" w14:textId="02DD3EE7">
      <w:pPr>
        <w:keepNext/>
      </w:pPr>
    </w:p>
    <w:p w:rsidRPr="00DC308B" w:rsidR="00DF21DA" w:rsidP="00DC308B" w:rsidRDefault="00DF21DA" w14:paraId="4733A4D4" w14:textId="4154DDF0">
      <w:pPr>
        <w:numPr>
          <w:ilvl w:val="0"/>
          <w:numId w:val="43"/>
        </w:numPr>
        <w:ind w:left="936" w:hanging="369"/>
      </w:pPr>
      <w:r>
        <w:t>Hiilestä irtautuminen (mukaan lukien uusiutuvien energialähteiden käytön lisääminen)</w:t>
      </w:r>
    </w:p>
    <w:p w:rsidRPr="00DC308B" w:rsidR="00DF21DA" w:rsidP="00DC308B" w:rsidRDefault="00DF21DA" w14:paraId="23472811" w14:textId="33F90B19">
      <w:pPr>
        <w:numPr>
          <w:ilvl w:val="0"/>
          <w:numId w:val="43"/>
        </w:numPr>
        <w:ind w:left="936" w:hanging="369"/>
      </w:pPr>
      <w:r>
        <w:t>Energiatehokkuus (ottaen erityisesti huomioon energiatehokkuus etusijalle -periaate)</w:t>
      </w:r>
    </w:p>
    <w:p w:rsidRPr="00DC308B" w:rsidR="00DF21DA" w:rsidP="00DC308B" w:rsidRDefault="00DF21DA" w14:paraId="7BD8DFDA" w14:textId="1148932F">
      <w:pPr>
        <w:numPr>
          <w:ilvl w:val="0"/>
          <w:numId w:val="43"/>
        </w:numPr>
        <w:ind w:left="936" w:hanging="369"/>
      </w:pPr>
      <w:r>
        <w:t xml:space="preserve">Energiavarmuus (mukaan lukien EU:hun suuntautuvan energiantuonnin vähentäminen sekä kansallisten energiajärjestelmien joustavuuden ja häiriönsietokyvyn lisääminen) </w:t>
      </w:r>
    </w:p>
    <w:p w:rsidRPr="00DC308B" w:rsidR="00DF21DA" w:rsidP="00DC308B" w:rsidRDefault="00DF21DA" w14:paraId="4A109991" w14:textId="3240ECB1">
      <w:pPr>
        <w:numPr>
          <w:ilvl w:val="0"/>
          <w:numId w:val="43"/>
        </w:numPr>
        <w:ind w:left="936" w:hanging="369"/>
      </w:pPr>
      <w:r>
        <w:t>Energian sisämarkkinat</w:t>
      </w:r>
    </w:p>
    <w:p w:rsidRPr="00DC308B" w:rsidR="00DF21DA" w:rsidP="00DC308B" w:rsidRDefault="00DF21DA" w14:paraId="79E034C0" w14:textId="70A87CB7">
      <w:pPr>
        <w:numPr>
          <w:ilvl w:val="0"/>
          <w:numId w:val="43"/>
        </w:numPr>
        <w:ind w:left="936" w:hanging="369"/>
      </w:pPr>
      <w:r>
        <w:t>Tutkimus, innovointi ja kilpailukyky.</w:t>
      </w:r>
    </w:p>
    <w:p w:rsidRPr="00DC308B" w:rsidR="00DF21DA" w:rsidP="00DC308B" w:rsidRDefault="00DF21DA" w14:paraId="2954AB3A" w14:textId="0AC57EE8">
      <w:pPr>
        <w:ind w:left="567"/>
      </w:pPr>
    </w:p>
    <w:p w:rsidRPr="00DC308B" w:rsidR="00DF21DA" w:rsidP="00DC308B" w:rsidRDefault="00093F6C" w14:paraId="3039A51D" w14:textId="36645A0E">
      <w:pPr>
        <w:pStyle w:val="Heading2"/>
        <w:numPr>
          <w:ilvl w:val="0"/>
          <w:numId w:val="0"/>
        </w:numPr>
        <w:ind w:left="567"/>
      </w:pPr>
      <w:r>
        <w:t>Lisäksi katsauksessa käsitellään aihetta ”Energiaunioni ja Euroopan vihreän kehityksen ohjelma”.</w:t>
      </w:r>
    </w:p>
    <w:p w:rsidRPr="00DC308B" w:rsidR="00DF21DA" w:rsidP="00DC308B" w:rsidRDefault="00DF21DA" w14:paraId="2E802998" w14:textId="77777777">
      <w:pPr>
        <w:ind w:firstLine="567"/>
      </w:pPr>
    </w:p>
    <w:p w:rsidRPr="00DC308B" w:rsidR="00DF21DA" w:rsidP="00DF21DA" w:rsidRDefault="00DF21DA" w14:paraId="05C880D1" w14:textId="021FA506">
      <w:pPr>
        <w:pStyle w:val="Heading2"/>
      </w:pPr>
      <w:r>
        <w:t xml:space="preserve">Tältä pohjalta komissio esittää ajatuksia siitä, miten tavoitteeseen ”vihreä elpyminen ja kestävä talous” päästään. Se ottaa ensinnäkin esiin esittämänsä strategiat energiajärjestelmän integroimiseksi ja vedyn käytön lisäämiseksi Euroopassa.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580D0CAE">
      <w:pPr>
        <w:pStyle w:val="Heading2"/>
      </w:pPr>
      <w:r>
        <w:t xml:space="preserve">Lisäksi komissio perustelee tarvetta nostaa hiilidioksidipäästöjen vähennystavoite vähintään 55 prosenttiin vuoden 1990 tasosta sekä lupailee strategiaa metaanipäästöjen vähentämiseksi ja visiota ”merellä tuotettavasta energiasta”. Tässä yhteydessä se kritisoi, että jäsenvaltioiden kansallisten energia- ja ilmastosuunnitelmiensa yhteydessä esittämät strategiat ovat usein epäselviä ja liian abstrakteja. </w:t>
      </w:r>
    </w:p>
    <w:p w:rsidRPr="00DC308B" w:rsidR="00DF21DA" w:rsidP="00DF21DA" w:rsidRDefault="00DF21DA" w14:paraId="6752A3C6" w14:textId="77777777"/>
    <w:p w:rsidRPr="00DC308B" w:rsidR="00DF21DA" w:rsidP="00DF21DA" w:rsidRDefault="00DF21DA" w14:paraId="6861C5FC" w14:textId="41E6A243">
      <w:pPr>
        <w:pStyle w:val="Heading2"/>
        <w:rPr>
          <w:noProof/>
        </w:rPr>
      </w:pPr>
      <w:r>
        <w:t xml:space="preserve">Kaiken kaikkiaan komissio katsoo, ettei tilanne ole vielä tyydyttävä, vaikka vuoteen 2020 tähdänneet uusiutuvien energialähteiden käytön lisäämistavoitteet onnistutaan katsauksen mukaan saavuttamaan suurelta osin kaikkialla EU:ssa. Muutamissa jäsenvaltioissa ”kehitystä” olisi kuitenkin ”nopeutettava”.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3839AFE9">
      <w:pPr>
        <w:pStyle w:val="Heading2"/>
        <w:rPr>
          <w:noProof/>
        </w:rPr>
      </w:pPr>
      <w:r>
        <w:t xml:space="preserve">Komissio kehottaa toteuttamaan lisätoimia energiatehokkuuden alalla. Erityisesti rakennusten peruskorjauksessa on havaittu merkittäviä puutteita.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81E5F81">
      <w:pPr>
        <w:pStyle w:val="Heading2"/>
        <w:rPr>
          <w:noProof/>
        </w:rPr>
      </w:pPr>
      <w:r>
        <w:t>Katsaukseen on nyt ensi kertaa liitetty seikkaperäinen selvitys</w:t>
      </w:r>
      <w:bookmarkStart w:name="_GoBack" w:id="0"/>
      <w:bookmarkEnd w:id="0"/>
      <w:r>
        <w:t xml:space="preserve"> energiatuista</w:t>
      </w:r>
      <w:r w:rsidRPr="00C27D12" w:rsidR="00CA11FD">
        <w:rPr>
          <w:color w:val="000000" w:themeColor="text1"/>
          <w:sz w:val="24"/>
          <w:szCs w:val="24"/>
          <w:vertAlign w:val="superscript"/>
        </w:rPr>
        <w:footnoteReference w:id="2"/>
      </w:r>
      <w:r w:rsidRPr="00C27D12">
        <w:rPr>
          <w:color w:val="000000" w:themeColor="text1"/>
        </w:rPr>
        <w:t>.</w:t>
      </w:r>
      <w:r>
        <w:t xml:space="preserve"> Siinä todetaan selkeästi, että a) energiatuista tarvitaan edelleen laadukkaampia tietoja</w:t>
      </w:r>
      <w:r w:rsidRPr="00DC308B">
        <w:rPr>
          <w:sz w:val="24"/>
          <w:szCs w:val="24"/>
          <w:vertAlign w:val="superscript"/>
        </w:rPr>
        <w:footnoteReference w:id="3"/>
      </w:r>
      <w:r>
        <w:t xml:space="preserve"> ja b) fossiilisten </w:t>
      </w:r>
      <w:r>
        <w:lastRenderedPageBreak/>
        <w:t>polttoaineiden tukia ”on selvästi tarpeen vähentää”. EU-tason nykyisiä oikeudellisia välineitä pidetään riittämättöminä.</w:t>
      </w:r>
    </w:p>
    <w:p w:rsidRPr="00DC308B" w:rsidR="00DF21DA" w:rsidP="00DF21DA" w:rsidRDefault="00DF21DA" w14:paraId="628088E0" w14:textId="77777777">
      <w:pPr>
        <w:pStyle w:val="Heading2"/>
        <w:numPr>
          <w:ilvl w:val="0"/>
          <w:numId w:val="0"/>
        </w:numPr>
        <w:rPr>
          <w:noProof/>
        </w:rPr>
      </w:pPr>
    </w:p>
    <w:p w:rsidRPr="00DC308B" w:rsidR="00DF21DA" w:rsidP="00DF21DA" w:rsidRDefault="00DF21DA" w14:paraId="780FDA7B" w14:textId="604293E1">
      <w:pPr>
        <w:pStyle w:val="Heading2"/>
        <w:rPr>
          <w:noProof/>
        </w:rPr>
      </w:pPr>
      <w:r>
        <w:t>Lisäksi todetaan, että energia-alalle on viime vuosina investoitu 27 jäsenvaltion EU:ssa yhä vähemmän tutkimus- ja kehittämisvaroja ja että Eurooppa on jäänyt tässä suhteessa merkittävästi jälkeen muista talousalueista. Katsauksen mukaan nämä suuntaukset ”eivät ole rohkaisevia”. Komissio ilmoittaakin esimerkiksi akkuvarastointiin ja vetyyn liittyvistä uusista toimista, joiden avulla pyritään elvyttämään tutkimus- ja innovointitoimintaa ja puuttumaan kansallisen tason investointien havaittuun vähenemiseen.</w:t>
      </w:r>
    </w:p>
    <w:p w:rsidRPr="00DC308B" w:rsidR="00DF21DA" w:rsidP="00DF21DA" w:rsidRDefault="00DF21DA" w14:paraId="133D8A1C" w14:textId="77777777"/>
    <w:p w:rsidRPr="00DC308B" w:rsidR="00DF21DA" w:rsidP="00DF21DA" w:rsidRDefault="00DF21DA" w14:paraId="3AE81D87" w14:textId="1D0BC220">
      <w:pPr>
        <w:pStyle w:val="Heading2"/>
      </w:pPr>
      <w:r>
        <w:t>Katsauksen mukaan energiantuontikustannukset ovat viime vuosina taas nousseet (ja ovat nyt yli 330 miljardia euroa vuodessa), joten aiempi laskusuuntaus on jälleen kääntynyt päinvastaiseksi.</w:t>
      </w:r>
    </w:p>
    <w:p w:rsidRPr="00DC308B" w:rsidR="00DF21DA" w:rsidP="00DF21DA" w:rsidRDefault="00DF21DA" w14:paraId="75C19736" w14:textId="77777777"/>
    <w:p w:rsidRPr="00DC308B" w:rsidR="00DF21DA" w:rsidP="00DF21DA" w:rsidRDefault="00DF21DA" w14:paraId="1ED2E449" w14:textId="6723145F">
      <w:pPr>
        <w:pStyle w:val="Heading2"/>
      </w:pPr>
      <w:r>
        <w:t>Komissio toistaa katsauksensa päätteeksi, että EU:lle tarjoutuu covid-19-kriisin myötä ainutlaatuinen mahdollisuus investointeihin, joilla voitaisiin tukea EU:n talouden elpymistä ja samalla nopeuttaa vihreää ja digitaalista siirtymää.</w:t>
      </w:r>
    </w:p>
    <w:p w:rsidRPr="00DC308B" w:rsidR="00DF21DA" w:rsidP="00DF21DA" w:rsidRDefault="00DF21DA" w14:paraId="1B8C8D21" w14:textId="77777777"/>
    <w:p w:rsidRPr="00DC308B" w:rsidR="00DF21DA" w:rsidP="00DF21DA" w:rsidRDefault="00DF21DA" w14:paraId="23AA7E46" w14:textId="1906A37E">
      <w:pPr>
        <w:pStyle w:val="Heading2"/>
      </w:pPr>
      <w:r>
        <w:t>Kansallisten energia- ja ilmastosuunnitelmien EU:n laajuista arviointia käsittelevässä tiedonannossaan komissio päätyy siltä osin myönteiseen lopputulokseen, että kasvihuonekaasupäästöjen vähentämisen ja uusiutuvien energiamuotojen suhteen on edistytty siihen malliin, että vastaavien vuoteen 2030 ulottuvien tavoitteiden tasoa voidaan vuonna 2021 nostaa selvästi. Toisaalta komissio toteaa, että energiatehokkuudessa, tutkimusinvestoinneissa ja innovoinnissa on vielä valtavasti parantamisen varaa. Näiden puutteiden korjaaminen edellyttää sitä, että jäsenvaltiot ottavat huomioon monivuotisen rahoituskehyksen sekä elpymis- ja palautumistukivälineen tarjoamat uudet rahoitusmahdollisuudet.</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Pr>
          <w:b/>
        </w:rPr>
        <w:t>ETSK:n yleishuomioita</w:t>
      </w:r>
    </w:p>
    <w:p w:rsidRPr="00DC308B" w:rsidR="00392EF1" w:rsidP="00646DA7" w:rsidRDefault="00392EF1" w14:paraId="1D990847" w14:textId="5BF34F3C">
      <w:pPr>
        <w:keepNext/>
        <w:keepLines/>
      </w:pPr>
    </w:p>
    <w:p w:rsidRPr="00DC308B" w:rsidR="00392EF1" w:rsidP="00392EF1" w:rsidRDefault="00392EF1" w14:paraId="5E53DA7F" w14:textId="4CA5B428">
      <w:pPr>
        <w:pStyle w:val="Heading2"/>
      </w:pPr>
      <w:r>
        <w:t xml:space="preserve">Aluksi on paikallaan esittää komissiolle suorasanaiset kiitokset: säntillisyys, jolla energiaunionin hallintoa hoidetaan ja joka näkyy näistä laajoista asiakirjoista (ja niiden liitteistä), osoittaa sen suhtautuvan asiaan erittäin vakavasti. Säntillinen ote on myös ehdottomasti tarpeen, sillä tähän mennessä asetetut ilmastotavoitteet, joita on tarkoitus tiukentaa, saavutetaan vain hädin tuskin, jos lainkaan. Tavoite tehdä Euroopan unionista ilmastoneutraali viimeistään vuoteen 2050 mennessä on äärimmäisen tärkeä, ja sen saavuttaminen edellyttää hyvin erilaisten poliittisten lähestymistapojen historiallisesti kenties ainutlaatuista strategista suunnittelua ja koordinointia, jonka on mentävä paljon pidemmälle kuin toistaiseksi on päätetty. </w:t>
      </w:r>
    </w:p>
    <w:p w:rsidRPr="00DC308B" w:rsidR="00392EF1" w:rsidP="00392EF1" w:rsidRDefault="00392EF1" w14:paraId="51F225E2" w14:textId="77777777">
      <w:pPr>
        <w:pStyle w:val="Heading2"/>
        <w:numPr>
          <w:ilvl w:val="0"/>
          <w:numId w:val="0"/>
        </w:numPr>
        <w:ind w:left="567"/>
        <w:rPr>
          <w:color w:val="000000" w:themeColor="text1"/>
        </w:rPr>
      </w:pPr>
    </w:p>
    <w:p w:rsidRPr="00DC308B" w:rsidR="00392EF1" w:rsidP="00DC308B" w:rsidRDefault="00392EF1" w14:paraId="51A43095" w14:textId="2EC75625">
      <w:pPr>
        <w:pStyle w:val="Heading2"/>
        <w:rPr>
          <w:noProof/>
        </w:rPr>
      </w:pPr>
      <w:r>
        <w:t>Tätä taustaa vasten ETSK on vahvasti samaa mieltä komission kanssa, kun tämä korostaa, että jäsenvaltioiden on laadittava selkeämpiä strategioita ja pantava ne viipymättä täytäntöön. Tässä yhteydessä on otettava entistä paremmin huomioon energiakäänteen sosiaaliset sekä työllisyyteen ja osaamiseen liittyvät vaikutukset ja muut jakaumavaikutukset ja tehtävä selkoa siitä, miten näihin haasteisiin voidaan vastata.</w:t>
      </w:r>
    </w:p>
    <w:p w:rsidRPr="00DC308B" w:rsidR="00392EF1" w:rsidP="00392EF1" w:rsidRDefault="00392EF1" w14:paraId="22E8AA09" w14:textId="77777777"/>
    <w:p w:rsidRPr="00DC308B" w:rsidR="00392EF1" w:rsidP="00392EF1" w:rsidRDefault="00392EF1" w14:paraId="52CFCFF1" w14:textId="390FF1FD">
      <w:pPr>
        <w:pStyle w:val="Heading2"/>
      </w:pPr>
      <w:r>
        <w:lastRenderedPageBreak/>
        <w:t>Komission esittämät keskeiset päätelmät ovat ymmärrettäviä ja tukemisen arvoisia. Tämä koskee erityisesti toteamusta, että edistyminen kasvihuonekaasupäästöjen vähentämistä, energiatehokkuuden parantamista ja uusiutuvien energialähteiden käytön lisäämistä koskevien tavoitteiden saavuttamisessa luo erinomaiset lähtökohdat entistä kunnianhimoisemmille tavoitteille.</w:t>
      </w:r>
    </w:p>
    <w:p w:rsidRPr="00DC308B" w:rsidR="00392EF1" w:rsidP="00392EF1" w:rsidRDefault="00392EF1" w14:paraId="096944FE" w14:textId="77777777">
      <w:pPr>
        <w:pStyle w:val="Heading2"/>
        <w:numPr>
          <w:ilvl w:val="0"/>
          <w:numId w:val="0"/>
        </w:numPr>
        <w:ind w:left="567"/>
        <w:rPr>
          <w:color w:val="000000" w:themeColor="text1"/>
        </w:rPr>
      </w:pPr>
    </w:p>
    <w:p w:rsidRPr="00DC308B" w:rsidR="00392EF1" w:rsidP="00392EF1" w:rsidRDefault="00392EF1" w14:paraId="26888217" w14:textId="77E89CF7">
      <w:pPr>
        <w:pStyle w:val="Heading2"/>
      </w:pPr>
      <w:r>
        <w:t>ETSK on komission kanssa yhtä mieltä myös siitä, että uudet virikkeet ovat tarpeen. Olisi kuitenkin ollut toivottavaa, että komissio olisi konkretisoinut, mistä näissä uusissa virikkeissä on kyse.</w:t>
      </w:r>
    </w:p>
    <w:p w:rsidRPr="00DC308B" w:rsidR="00392EF1" w:rsidP="00392EF1" w:rsidRDefault="00392EF1" w14:paraId="5DF38093" w14:textId="77777777"/>
    <w:p w:rsidRPr="00DC308B" w:rsidR="00392EF1" w:rsidP="00392EF1" w:rsidRDefault="00392EF1" w14:paraId="61986789" w14:textId="0BFCD9DD">
      <w:pPr>
        <w:pStyle w:val="Heading2"/>
      </w:pPr>
      <w:r>
        <w:t>Komitea pitää loogisena sitä, että komissio nivoo energiaunionin kehittämisen Euroopan vihreän kehityksen ohjelmaan sekä covid-19-pandemiaan liittyvään elvytyspolitiikkaan, sillä niistä ei kummastakaan ollut vielä tietoakaan silloin, kun energiaunionin strategiset puitteet ja hallintoasetus laadittiin. ETSK korostaa, että Euroopan energiaunioni tarjoaa ihanteelliset lähtökohdat vihreän kehityksen ohjelman toimille. Siksi nyt tehdyn arvioinnin yhteydessä olisi ollut entistäkin tärkeämpää yksilöidä ilmenneet puutteet tarkemmin ja kehittää niiden korjaamiseen tähtääviä strategioita. Näin ei ole tehty ainakaan kolmessa tapauksessa, joita tarkastellaan lähemmin seuraavassa.</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Pr>
          <w:i/>
        </w:rPr>
        <w:t>”Kansalaiset energiaunionin keskiöön” ‑tavoitteen puutteellinen toteutuminen</w:t>
      </w:r>
    </w:p>
    <w:p w:rsidRPr="00DC308B" w:rsidR="00392EF1" w:rsidP="00646DA7" w:rsidRDefault="00392EF1" w14:paraId="60624F4F" w14:textId="77777777">
      <w:pPr>
        <w:keepNext/>
        <w:keepLines/>
      </w:pPr>
    </w:p>
    <w:p w:rsidRPr="00DC308B" w:rsidR="00392EF1" w:rsidP="008A5FF3" w:rsidRDefault="00392EF1" w14:paraId="3689779F" w14:textId="213C9B49">
      <w:pPr>
        <w:pStyle w:val="Heading2"/>
      </w:pPr>
      <w:r>
        <w:t xml:space="preserve">Kuten kohdassa 2.2 todetaan, komissio on energiaunionin strategisissa puitteissa määritellyt kansalaislähtöisen ja kansalaiskeskeisen politiikan kaikkein tärkeimmäksi (!) tavoitteeksi. Siksi tähän tavoitteeseen olisi kiinnitettävä erityistä huomiota myös energiaunionin tilaa koskevassa katsauksessa esittämällä konkreettisia ehdotuksia kansalaisten, työmarkkinaosapuolten ja sidosryhmien avoimesta ja aktiivisesta osallistumisesta ja osallistamisesta päätöksentekoon, esimerkiksi kansallisten energia- ja ilmastosuunnitelmien osalta, sekä aktiivisesta osallistumisesta ja osallisuudesta markkinoiden toimintaan. Käytännössä osallisuusnäkökohtaa ei kuitenkaan edes mainita katsauksessa, eikä siinä pohdita lainkaan, palvelevatko tulevaisuuden varalta ehdotetut toimenpiteet nimenomaan tämän tavoitteen saavuttamista. </w:t>
      </w:r>
    </w:p>
    <w:p w:rsidRPr="00DC308B" w:rsidR="00392EF1" w:rsidP="00392EF1" w:rsidRDefault="00392EF1" w14:paraId="52BED425" w14:textId="77777777">
      <w:pPr>
        <w:pStyle w:val="Heading2"/>
        <w:numPr>
          <w:ilvl w:val="0"/>
          <w:numId w:val="0"/>
        </w:numPr>
        <w:ind w:left="567"/>
        <w:rPr>
          <w:color w:val="000000" w:themeColor="text1"/>
        </w:rPr>
      </w:pPr>
    </w:p>
    <w:p w:rsidRPr="00DC308B" w:rsidR="00392EF1" w:rsidP="008A5FF3" w:rsidRDefault="00392EF1" w14:paraId="7DDD70EB" w14:textId="2D1DF83E">
      <w:pPr>
        <w:pStyle w:val="Heading2"/>
      </w:pPr>
      <w:r>
        <w:t>Sama ongelma näkyy tällä hetkellä muun muassa komission esittämässä energiajärjestelmän integrointistrategiassa, jossa kansalaisia pidetään vain kuluttajina eikä aktiivisina markkinatoimijoina. Myös Euroopan komission</w:t>
      </w:r>
      <w:r w:rsidRPr="00DC308B">
        <w:rPr>
          <w:color w:val="000000" w:themeColor="text1"/>
          <w:sz w:val="24"/>
          <w:szCs w:val="24"/>
          <w:vertAlign w:val="superscript"/>
        </w:rPr>
        <w:footnoteReference w:id="4"/>
      </w:r>
      <w:r>
        <w:t xml:space="preserve"> määrittelemien painopisteiden, nimittäin vetystrategian ja luvatun merellä tuotettavaa energiaa koskevan vision, yhteydessä on vaikea kuvitella, että kansalaisten osallisuus olisi ylipäätään mahdollista tai sitä olisi edes mietitty. Tästä syystä on erittäin arveluttavaa, että komissio kaavailee kansallisten energia- ja ilmastosuunnitelmien arviointia käsittelevässä tiedonannossa käyttävänsä vastikään perustettua uusiutuvan energian rahoitusmekanismia erityisesti avomeriteknologioiden edistämiseen.</w:t>
      </w:r>
    </w:p>
    <w:p w:rsidRPr="00DC308B" w:rsidR="00392EF1" w:rsidP="00392EF1" w:rsidRDefault="00392EF1" w14:paraId="3341F3A3" w14:textId="77777777"/>
    <w:p w:rsidRPr="00DC308B" w:rsidR="00392EF1" w:rsidP="008A5FF3" w:rsidRDefault="00392EF1" w14:paraId="042C8F42" w14:textId="35CC9257">
      <w:pPr>
        <w:pStyle w:val="Heading2"/>
      </w:pPr>
      <w:r>
        <w:t xml:space="preserve">Näin toimiessaan komissio jättää voimassa olevaa EU:n lainsäädäntöä huomiotta, sillä sähkön sisämarkkinoita koskevan direktiivin (EU) 2019/944 johdanto-osan 43 kappaleessa todetaan seuraavaa: ”[– –] ovat tehneet yhteisöenergiasta toimivan ja kustannustehokkaan keinon vastata kansalaisten tarpeisiin ja odotuksiin [– –]. [– –] Koska kuluttajat ovat suoraan osallisina </w:t>
      </w:r>
      <w:r>
        <w:lastRenderedPageBreak/>
        <w:t>yhteisöenergia-aloitteissa, niillä on mahdollista helpottaa integroidusti uuden teknologian käyttöönottoa ja uusien kulutustottumusten omaksumista, mukaan lukien älykkäät jakeluverkot ja kulutusjousto. Yhteisöenergia voi myös edistää kotitalouksien energiatehokkuutta ja auttaa torjumaan energiaköyhyyttä vähentämällä kulutusta ja alentamalla toimitushintoja. [– –] Onnistuessaan tällaiset aloitteet ovat tuottaneet yhteisölle taloudellista, sosiaalista ja ympäristönäkökohtiin liittyvää hyötyä [– –].” Euroopan lainsäätäjien mielestä yhteisöenergian avulla voidaan siis korjata erinäisiä komission asiakirjoissa esitettyjä epäkohtia. Tästä syystä on vieläkin vaikeampi ymmärtää, ettei komissio kiinnitä asiaan huomiota omissa asiakirjoissaan. Tavoitteiden ja todellisuuden välillä on valtava kuilu, eikä komissiolla edelleenkään näytä olevan todellista strategiaa, jolla kansalaisista pyritään saamaan aktiivisia kumppaneita.</w:t>
      </w:r>
    </w:p>
    <w:p w:rsidRPr="00DC308B" w:rsidR="00392EF1" w:rsidP="00392EF1" w:rsidRDefault="00392EF1" w14:paraId="3C807EB0" w14:textId="77777777"/>
    <w:p w:rsidRPr="00DC308B" w:rsidR="00392EF1" w:rsidP="008A5FF3" w:rsidRDefault="00392EF1" w14:paraId="28890A1E" w14:textId="49B370FB">
      <w:pPr>
        <w:pStyle w:val="Heading2"/>
      </w:pPr>
      <w:r>
        <w:t xml:space="preserve">Tämä kritiikki on kuitenkin kohdistettava myös useimmille jäsenvaltioille, sillä jäsenvaltioiden on hallintoasetuksen (EU) 2018/1999 20 artiklan nojalla käsiteltävä kansallisissa energia- ja ilmastosuunnitelmissaan myös yhteisöenergiaa. Komissio korostaa arvioinnissaan, etteivät jäsenvaltiot ole noudattaneet tätä velvoitetta riittävässä määrin, jos lainkaan. ETSK kehottaa Euroopan komissiota ehdottamaan uusiutuvia energialähteitä koskevan direktiivin tulevan tarkistuksen yhteydessä konkreettisempia säännöksiä yhteisöenergian edistämiseksi.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Pr>
          <w:i/>
        </w:rPr>
        <w:t>Energiaturvallisuutta ja energiantuonnin vähentämistä koskevien tavoitteiden puutteellinen toteutuminen</w:t>
      </w:r>
    </w:p>
    <w:p w:rsidRPr="00DC308B" w:rsidR="00392EF1" w:rsidP="00646DA7" w:rsidRDefault="00392EF1" w14:paraId="6E2A4A3B" w14:textId="77777777">
      <w:pPr>
        <w:keepNext/>
        <w:keepLines/>
      </w:pPr>
    </w:p>
    <w:p w:rsidRPr="00DC308B" w:rsidR="00392EF1" w:rsidP="00EC4936" w:rsidRDefault="00392EF1" w14:paraId="676EB510" w14:textId="4D408E6F">
      <w:pPr>
        <w:pStyle w:val="Heading2"/>
        <w:rPr>
          <w:noProof/>
        </w:rPr>
      </w:pPr>
      <w:r>
        <w:t xml:space="preserve">Energiaunionin strategisena tavoitteena on parantaa energiaturvallisuutta muun muassa vähentämällä energiantuontia. Komissio mainitsee jokseenkin ohimennen, ettei edistystä ole havaittavissa – energiantuontimenot ovat päinvastoin jälleen kasvaneet. Vedyn yhä suurempi merkitys saattaa osaltaan jopa johtaa siihen, että tuonti lisääntyy tulevaisuudessa entisestäänkin, sillä komissio laskee vetystrategiassaan tietoisesti tuonnin varaan. ETSK odottaa komissiolta selväsanaista selitystä asiasta. </w:t>
      </w:r>
    </w:p>
    <w:p w:rsidRPr="00DC308B" w:rsidR="00392EF1" w:rsidP="00392EF1" w:rsidRDefault="00392EF1" w14:paraId="33AD2944" w14:textId="07779C0A"/>
    <w:p w:rsidRPr="00DC308B" w:rsidR="00E6375E" w:rsidP="00C146D8" w:rsidRDefault="00E6375E" w14:paraId="12A9D05A" w14:textId="19EA0D96">
      <w:pPr>
        <w:pStyle w:val="Heading2"/>
      </w:pPr>
      <w:r>
        <w:t xml:space="preserve">Lisäksi ETSK kehottaa noudattamaan eurooppalaisen solidaarisuuden periaatetta pyrittäessä välttämättömän energiantuonnin turvaamiseen. Jäsenvaltioiden erilliset ratkaisut, kuten Nord Stream 2 </w:t>
      </w:r>
      <w:r>
        <w:noBreakHyphen/>
        <w:t>kaasuputkihankkeen yhteydessä, voivat vaarantaa paitsi ilmastonsuojelun myös energiaturvallisuuden. Tällaiset eurooppalaista solidaarisuutta heikentävät toimet uhkaavat horjuttaa kansalaisten luottamusta unioniin ja tehdä hallaa EU:n imagolle kolmansissa maissa.</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Pr>
          <w:i/>
        </w:rPr>
        <w:t>Innovointia ja maailmanlaajuista johtoasemaa koskevan tavoitteen puutteellinen toteutuminen</w:t>
      </w:r>
    </w:p>
    <w:p w:rsidRPr="00DC308B" w:rsidR="00392EF1" w:rsidP="00646DA7" w:rsidRDefault="00392EF1" w14:paraId="5E8FC0AB" w14:textId="77777777">
      <w:pPr>
        <w:keepNext/>
        <w:keepLines/>
      </w:pPr>
    </w:p>
    <w:p w:rsidRPr="00DC308B" w:rsidR="00392EF1" w:rsidP="008A5FF3" w:rsidRDefault="00392EF1" w14:paraId="4BDF425A" w14:textId="06A2CE2B">
      <w:pPr>
        <w:pStyle w:val="Heading2"/>
        <w:rPr>
          <w:noProof/>
        </w:rPr>
      </w:pPr>
      <w:r>
        <w:t xml:space="preserve">Tilanne näyttää synkältä myös innovoinnin osalta. Energiaunionin tilaa koskevasta katsauksesta välittyvä kuva tutkimus- ja innovointi-investointien ja patenttihakemusten tilanteesta vie pohjaa energiaunionin mahtipontiselta tavoitteelta ottaa alalla maailmanlaajuinen johtoasema. Tämän huolestuttavan havainnon vuoksi on tarpeen analysoida tarkoin ja perusteellisesti, mikä on mennyt vikaan, jotta tämän kielteisen kehityksen syyt saadaan yksilöityä ja selvitettyä juurta jaksaen. Tältä pohjalta on kehitettävä konkreettisia toimenpiteitä asian korjaamiseksi. </w:t>
      </w:r>
    </w:p>
    <w:p w:rsidRPr="00DC308B" w:rsidR="00392EF1" w:rsidP="00392EF1" w:rsidRDefault="00392EF1" w14:paraId="4F01558E" w14:textId="77777777"/>
    <w:p w:rsidRPr="00DC308B" w:rsidR="00392EF1" w:rsidP="008A5FF3" w:rsidRDefault="00392EF1" w14:paraId="013C00C8" w14:textId="71F64346">
      <w:pPr>
        <w:pStyle w:val="Heading2"/>
      </w:pPr>
      <w:r>
        <w:t xml:space="preserve">Edellä kohdissa 3.6–3.11 esitetyn valossa on syytä todeta selväsanaisesti, että samojen iskulauseiden toistaminen kerta toisensa jälkeen ei riitä vaan niiden on johdettava käytännön toimiin. Muutoin EU:n politiikan uskottavuus vaarantuu. Missään käsillä olevista komission </w:t>
      </w:r>
      <w:r>
        <w:lastRenderedPageBreak/>
        <w:t>asiakirjoista, energiajärjestelmän integrointistrategia ja vetystrategia mukaan luettuina, ei kuitenkaan esitetä konkreettisia toimenpiteitä, jotka voisivat auttaa edellä mainittujen tavoitteiden saavuttamisessa.</w:t>
      </w:r>
    </w:p>
    <w:p w:rsidRPr="00DC308B" w:rsidR="00392EF1" w:rsidP="00392EF1" w:rsidRDefault="00392EF1" w14:paraId="1202D3DE" w14:textId="77777777"/>
    <w:p w:rsidRPr="00DC308B" w:rsidR="00392EF1" w:rsidP="00646DA7" w:rsidRDefault="00392EF1" w14:paraId="118696E3" w14:textId="0F7FC281">
      <w:pPr>
        <w:keepNext/>
        <w:keepLines/>
        <w:ind w:left="567"/>
        <w:rPr>
          <w:i/>
        </w:rPr>
      </w:pPr>
      <w:r>
        <w:rPr>
          <w:i/>
        </w:rPr>
        <w:t>Energiaunionin sosiaali- ja aluepoliittinen merkitys</w:t>
      </w:r>
    </w:p>
    <w:p w:rsidRPr="00DC308B" w:rsidR="00392EF1" w:rsidP="00646DA7" w:rsidRDefault="00392EF1" w14:paraId="73572E85" w14:textId="77777777">
      <w:pPr>
        <w:keepNext/>
        <w:keepLines/>
      </w:pPr>
    </w:p>
    <w:p w:rsidRPr="00DC308B" w:rsidR="00392EF1" w:rsidP="008A5FF3" w:rsidRDefault="00392EF1" w14:paraId="72A09D06" w14:textId="58AB09FD">
      <w:pPr>
        <w:pStyle w:val="Heading2"/>
        <w:rPr>
          <w:noProof/>
        </w:rPr>
      </w:pPr>
      <w:r>
        <w:t xml:space="preserve">Komissio esittää energiaunionin tilaa koskevan katsauksensa luvuissa 2.6 ja 3.3 myös muutamia sosiaalipoliittisia pohdintoja. Ne ovat asianmukaisia, ja ETSK kannattaa erityisesti covid-19-kriisiin liittyvien elpymistukien kytkemistä ilmasto- ja energiapoliittisiin tavoitteisiin. Myös oikeudenmukaisen siirtymän edistämiseksi kaavaillut toimenpiteet ovat asiallisia ja luovat edellytykset sille, että ihmiset saadaan toimimaan ilmasto- ja energiatavoitteiden saavuttamisen hyväksi. Se, onko niistä todella apua ”ketään ei unohdeta” ‑periaatteen toteutumisessa, riippuu käytännössä yksittäisten välineiden käyttöönotosta ja rahoituksesta sekä niiden konkreettisesta soveltamisesta jäsenvaltioissa. </w:t>
      </w:r>
    </w:p>
    <w:p w:rsidRPr="00DC308B" w:rsidR="00392EF1" w:rsidP="00392EF1" w:rsidRDefault="00392EF1" w14:paraId="16B4E100" w14:textId="77777777"/>
    <w:p w:rsidRPr="00DC308B" w:rsidR="00392EF1" w:rsidP="008A5FF3" w:rsidRDefault="00392EF1" w14:paraId="34286D2E" w14:textId="794B737B">
      <w:pPr>
        <w:pStyle w:val="Heading2"/>
        <w:rPr>
          <w:noProof/>
        </w:rPr>
      </w:pPr>
      <w:r>
        <w:t>ETSK muistuttaa aiemmissa lausunnoissa esittämästään vakaasta käsityksestä</w:t>
      </w:r>
      <w:r w:rsidRPr="00DC308B">
        <w:rPr>
          <w:noProof/>
          <w:sz w:val="24"/>
          <w:szCs w:val="24"/>
          <w:vertAlign w:val="superscript"/>
        </w:rPr>
        <w:footnoteReference w:id="5"/>
      </w:r>
      <w:r>
        <w:t>: sosiaalisen ja alueellisen yhteenkuuluvuuden parantamiseen tarkoitettuja varoja ja elpymistukia on käytettävä ilmastonsuojelua ja energiakäännettä edistävällä tavalla, mutta lisäksi ilmasto- ja energiapolitiikka on suunniteltava (ja voidaan suunnitella) sellaiseksi, että se edistää sosiaalista ja alueellista yhteenkuuluvuutta. Tällaisia toimintamalleja on jo olemassa, ja kansallisten energia- ja ilmastosuunnitelmien arviointia käsittelevässä tiedonannossa jopa mainitaan muutama, esimerkiksi hankkeet aurinkopuistojen rakentamiseksi entisille ruskohiilen louhintapaikoille Portugalissa ja Kreikassa sekä erittäin strategisesti kohdennettu tuottajakuluttajatuki Liettuassa. Nämä esimerkit ovat kuitenkin kaukana yleisestä tai vallitsevasta käytännöstä.</w:t>
      </w:r>
    </w:p>
    <w:p w:rsidRPr="00DC308B" w:rsidR="00392EF1" w:rsidP="00392EF1" w:rsidRDefault="00392EF1" w14:paraId="0DF14FB0" w14:textId="77777777"/>
    <w:p w:rsidRPr="00DC308B" w:rsidR="00392EF1" w:rsidP="008A5FF3" w:rsidRDefault="00392EF1" w14:paraId="7D8ABB78" w14:textId="2ECBED50">
      <w:pPr>
        <w:pStyle w:val="Heading2"/>
        <w:rPr>
          <w:noProof/>
        </w:rPr>
      </w:pPr>
      <w:r>
        <w:t>Niinpä on olemassa riski, että energiakäänne lisää sosiaalisia ja alueellisia eroja, esimerkiksi jos komissio hoitaa energiajärjestelmän integroinnin, vetyinfrastruktuurin kehittämisen ja merellä tuotettavan energian edistämisen suunnitelmiensa mukaisesti, jolloin se siis suosii keskitettyjä toimintamalleja hajautettujen kustannuksella.</w:t>
      </w:r>
    </w:p>
    <w:p w:rsidRPr="00DC308B" w:rsidR="00392EF1" w:rsidP="00392EF1" w:rsidRDefault="00392EF1" w14:paraId="4E46F510" w14:textId="77777777"/>
    <w:p w:rsidRPr="00DC308B" w:rsidR="00392EF1" w:rsidP="008A5FF3" w:rsidRDefault="00392EF1" w14:paraId="13343411" w14:textId="1BC9C371">
      <w:pPr>
        <w:pStyle w:val="Heading2"/>
      </w:pPr>
      <w:r>
        <w:t>Keskitetyn ja hajautetun infrastruktuurin rinnakkainen rakentaminen on joka tapauksessa ongelmallista ja uhkaa aiheuttaa hukkainvestointeja. Esimerkiksi kattava vetyputkiverkosto ja matalan lämpötilan kaukolämpöverkko, jonka laajentamista kansallisten energia- ja ilmastosuunnitelmien arviointia käsittelevässä komission tiedonannossa vaaditaan, kilpailevat keskenään siitä, kumpaa käytetään. Investointivarmuuden takaamiseksi ETSK onkin kehottanut tekemään asiaa koskevia periaatepäätöksiä.</w:t>
      </w:r>
      <w:r w:rsidRPr="00DC308B">
        <w:rPr>
          <w:sz w:val="24"/>
          <w:szCs w:val="24"/>
          <w:vertAlign w:val="superscript"/>
        </w:rPr>
        <w:footnoteReference w:id="6"/>
      </w:r>
      <w:r>
        <w:t xml:space="preserve"> Ne ovat strategisesti tärkeitä myös energiaunionin onnistumisen kannalta, mutta asia sivuutetaan tarkasteltavana olevissa asiakirjoissa kokonaan.</w:t>
      </w:r>
    </w:p>
    <w:p w:rsidRPr="00DC308B" w:rsidR="00392EF1" w:rsidP="00392EF1" w:rsidRDefault="00392EF1" w14:paraId="54BE2E11" w14:textId="77777777"/>
    <w:p w:rsidRPr="00DC308B" w:rsidR="00392EF1" w:rsidP="008A5FF3" w:rsidRDefault="00392EF1" w14:paraId="2033907C" w14:textId="037B665D">
      <w:pPr>
        <w:pStyle w:val="Heading2"/>
      </w:pPr>
      <w:r>
        <w:t xml:space="preserve">Digitalisaatio jätetään energiaunionin tilaa koskevassa katsauksessa huomiotta samaan tapaan kuin lähes kaikissa muissakin komission viimeaikaisissa energiapoliittisissa asiakirjoissa. Se mahdollistaa kuitenkin mielenkiintoisia toimintamalleja, kuten älykkäät mikroverkot ja älykkäät </w:t>
      </w:r>
      <w:r>
        <w:lastRenderedPageBreak/>
        <w:t>markkinat, mikrokaupankäynnin (</w:t>
      </w:r>
      <w:r>
        <w:rPr>
          <w:i/>
        </w:rPr>
        <w:t>micro trading</w:t>
      </w:r>
      <w:r>
        <w:t>) ja virtuaalivoimalat. Ne voivat kaikki omalta osaltaan parantaa energian sisämarkkinoiden tehokkuutta ja suorituskykyä muun muassa siksi, että ne vahvistavat aktiivisten kuluttajien asemaa. Komissio on käsitellyt asiaa energiaunionia koskevassa puitestrategiassa</w:t>
      </w:r>
      <w:r w:rsidRPr="00DC308B" w:rsidR="00311BE2">
        <w:rPr>
          <w:sz w:val="24"/>
          <w:szCs w:val="24"/>
          <w:vertAlign w:val="superscript"/>
        </w:rPr>
        <w:footnoteReference w:id="7"/>
      </w:r>
      <w:r>
        <w:t>, vaikkakin melko lyhyesti. On käsittämätöntä, että tämä näkökohta sivuutetaan energiaunionin tilaa koskevassa katsauksessa, vaikka digitaaliteknologian käyttöä on nimenomaan syytä tarkastella huolellisesti hyödyllisyysnäkökulmasta ja mahdollisten eettisten, erityisesti datasuvereniteettiin liittyvien, ongelmien kannalta.</w:t>
      </w:r>
    </w:p>
    <w:p w:rsidRPr="00DC308B" w:rsidR="0087511F" w:rsidP="0087511F" w:rsidRDefault="0087511F" w14:paraId="7133C439" w14:textId="316624B9"/>
    <w:p w:rsidRPr="00DC308B" w:rsidR="000B2261" w:rsidP="0092523D" w:rsidRDefault="000B2261" w14:paraId="369B979D" w14:textId="3012A6FF">
      <w:pPr>
        <w:pStyle w:val="Heading2"/>
      </w:pPr>
      <w:r>
        <w:t>Joka tapauksessa on kuitenkin huolehdittava siitä, että digitalisaatio hoidetaan niin, että siitä on hyötyä loppukäyttäjille. Kansalaiset odottavat edelleen, että lisääntyvä digitalisaatio toisi mukanaan parempia palveluita. Esimerkkeinä mainittakoon mahdollisuus vaihtaa energiantoimittajaa päivittäin, välitön palaute viallisista mittareista tai epäilyttävistä käyttötavoista sekä juoheat menettelyt oman tuotannon liittämiseksi verkkoon.</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Pr>
          <w:b/>
        </w:rPr>
        <w:t>Erityishuomioita</w:t>
      </w:r>
    </w:p>
    <w:p w:rsidRPr="00DC308B" w:rsidR="00685417" w:rsidP="00DC308B" w:rsidRDefault="00685417" w14:paraId="217868C6" w14:textId="0201492D">
      <w:pPr>
        <w:keepNext/>
      </w:pPr>
    </w:p>
    <w:p w:rsidRPr="00DC308B" w:rsidR="00685417" w:rsidP="00DC308B" w:rsidRDefault="00685417" w14:paraId="4B1F923B" w14:textId="49D70717">
      <w:pPr>
        <w:keepNext/>
        <w:ind w:left="567"/>
        <w:rPr>
          <w:i/>
          <w:color w:val="000000" w:themeColor="text1"/>
        </w:rPr>
      </w:pPr>
      <w:r>
        <w:rPr>
          <w:i/>
          <w:color w:val="000000" w:themeColor="text1"/>
        </w:rPr>
        <w:t>Hiilestä irtautumista käsittelevä luku energiaunionin tilaa koskevassa katsauksessa</w:t>
      </w:r>
    </w:p>
    <w:p w:rsidRPr="00DC308B" w:rsidR="00685417" w:rsidP="00DC308B" w:rsidRDefault="00685417" w14:paraId="1539B655" w14:textId="77777777">
      <w:pPr>
        <w:keepNext/>
        <w:rPr>
          <w:color w:val="000000" w:themeColor="text1"/>
        </w:rPr>
      </w:pPr>
    </w:p>
    <w:p w:rsidRPr="00DC308B" w:rsidR="00685417" w:rsidP="00DC308B" w:rsidRDefault="00685417" w14:paraId="621486A3" w14:textId="1B25ADC8">
      <w:pPr>
        <w:pStyle w:val="Heading2"/>
      </w:pPr>
      <w:r>
        <w:t>Komissio toteaa perustellusti, että uusiutuvien energiamuotojen käyttö tuo mukanaan monia etuja. Se, kuka näistä eduista hyötyy, riippuu kuitenkin ratkaisevasti siitä, toteutetaanko energiakäänne lähtökohtaisesti keskittäen vai hajauttaen.</w:t>
      </w:r>
      <w:r w:rsidRPr="00DC308B">
        <w:rPr>
          <w:color w:val="000000" w:themeColor="text1"/>
          <w:sz w:val="24"/>
          <w:szCs w:val="24"/>
          <w:vertAlign w:val="superscript"/>
        </w:rPr>
        <w:footnoteReference w:id="8"/>
      </w:r>
      <w:r>
        <w:t xml:space="preserve"> Tätä näkökohtaa komissio ei ota katsauksessaan esiin.</w:t>
      </w:r>
    </w:p>
    <w:p w:rsidRPr="00DC308B" w:rsidR="00685417" w:rsidP="00685417" w:rsidRDefault="00685417" w14:paraId="487DF80D" w14:textId="77777777"/>
    <w:p w:rsidRPr="00DC308B" w:rsidR="00685417" w:rsidP="00DC308B" w:rsidRDefault="00685417" w14:paraId="23A1E696" w14:textId="5937D2FF">
      <w:pPr>
        <w:pStyle w:val="Heading2"/>
        <w:keepNext/>
        <w:numPr>
          <w:ilvl w:val="0"/>
          <w:numId w:val="0"/>
        </w:numPr>
        <w:ind w:left="567" w:hanging="567"/>
        <w:rPr>
          <w:color w:val="000000" w:themeColor="text1"/>
        </w:rPr>
      </w:pPr>
      <w:r>
        <w:rPr>
          <w:i/>
          <w:color w:val="000000" w:themeColor="text1"/>
        </w:rPr>
        <w:tab/>
        <w:t>Energiavarmuutta käsittelevä luku energiaunionin tilaa koskevassa katsauksessa</w:t>
      </w:r>
    </w:p>
    <w:p w:rsidRPr="00DC308B" w:rsidR="00685417" w:rsidP="00DC308B" w:rsidRDefault="00685417" w14:paraId="1517D67F" w14:textId="77777777">
      <w:pPr>
        <w:keepNext/>
        <w:rPr>
          <w:color w:val="000000" w:themeColor="text1"/>
        </w:rPr>
      </w:pPr>
    </w:p>
    <w:p w:rsidRPr="00DC308B" w:rsidR="00685417" w:rsidP="00685417" w:rsidRDefault="00685417" w14:paraId="4E8C7CFC" w14:textId="569D5ABA">
      <w:pPr>
        <w:pStyle w:val="Heading2"/>
      </w:pPr>
      <w:r>
        <w:t>Komissio kiinnittää aivan oikein runsaasti huomiota toimitusvarmuuteen ja tässä yhteydessä energiaturvallisuuteen. Sen merkitys kansantaloudelle on nimittäin arvaamattoman suuri. Perinteisen tuontiriippuvuuskysymyksen lisäksi on ennen kaikkea pohdittava kykyä kestää ulkopuolelta tulevia hyökkäyksiä, kuten kyberrikollisuutta. Tuoreimpien tutkimustulosten</w:t>
      </w:r>
      <w:r w:rsidRPr="00DC308B" w:rsidR="00311BE2">
        <w:rPr>
          <w:color w:val="000000" w:themeColor="text1"/>
          <w:sz w:val="24"/>
          <w:szCs w:val="24"/>
          <w:vertAlign w:val="superscript"/>
        </w:rPr>
        <w:footnoteReference w:id="9"/>
      </w:r>
      <w:r>
        <w:t xml:space="preserve"> mukaan paras strategia hyvän kestokyvyn takaamiseksi on vahvistaa sellaisia hajautettuja rakenteita, jotka pystyvät toimimaan täysin itsenäisesti omina järjestelminään. Komission olisi otettava nämä tulokset paremmin huomioon.</w:t>
      </w:r>
    </w:p>
    <w:p w:rsidRPr="00DC308B" w:rsidR="00685417" w:rsidP="00685417" w:rsidRDefault="00685417" w14:paraId="7EA3A7E2" w14:textId="77777777"/>
    <w:p w:rsidRPr="00DC308B" w:rsidR="00685417" w:rsidP="00685417" w:rsidRDefault="00685417" w14:paraId="676C8F39" w14:textId="6AE89136">
      <w:pPr>
        <w:pStyle w:val="Heading2"/>
      </w:pPr>
      <w:r>
        <w:t>Vihreällä vedyllä on tulevaisuudessa kiistatta oma osuutensa eurooppalaisen energiajärjestelmän toimitusvarmuuden turvaamisessa. ETSK viittaa tältä osin lausuntoihinsa vetystrategiasta</w:t>
      </w:r>
      <w:r w:rsidRPr="00DC308B" w:rsidR="000B2261">
        <w:rPr>
          <w:noProof/>
          <w:sz w:val="24"/>
          <w:szCs w:val="24"/>
          <w:vertAlign w:val="superscript"/>
        </w:rPr>
        <w:footnoteReference w:id="10"/>
      </w:r>
      <w:r>
        <w:t xml:space="preserve"> ja energiajärjestelmän integrointistrategiasta</w:t>
      </w:r>
      <w:r w:rsidRPr="00DC308B" w:rsidR="000B2261">
        <w:rPr>
          <w:noProof/>
          <w:sz w:val="24"/>
          <w:szCs w:val="24"/>
          <w:vertAlign w:val="superscript"/>
        </w:rPr>
        <w:footnoteReference w:id="11"/>
      </w:r>
      <w:r>
        <w:t>.</w:t>
      </w:r>
    </w:p>
    <w:p w:rsidRPr="00DC308B" w:rsidR="00685417" w:rsidP="00685417" w:rsidRDefault="00685417" w14:paraId="6E29DFEE" w14:textId="6D468C06">
      <w:pPr>
        <w:rPr>
          <w:color w:val="000000" w:themeColor="text1"/>
        </w:rPr>
      </w:pPr>
    </w:p>
    <w:p w:rsidRPr="00DC308B" w:rsidR="0050749D" w:rsidP="00C146D8" w:rsidRDefault="0050749D" w14:paraId="4676B3FF" w14:textId="32788758">
      <w:pPr>
        <w:pStyle w:val="Heading2"/>
        <w:rPr>
          <w:color w:val="000000" w:themeColor="text1"/>
        </w:rPr>
      </w:pPr>
      <w:r>
        <w:lastRenderedPageBreak/>
        <w:t>Myöskään tässä yhteydessä ei pidä kiinnittää huomiota vain suuren mittaluokan teknologiaan (vedyn tuontia palvelevan infrastruktuurin rakentaminen mukaan luettuna). On olemassa lukuisia innovatiivisia, ympäristöystävällisiä ja ennen kaikkea alueellisia tai paikallisia ratkaisuja, jotka voidaan toteuttaa suoraan paikan päällä (muun muassa alueellinen vedyn tuotanto tai synteettisten polttoaineiden tuotanto). Niiden turvin voidaan lisätä toimitusvarmuutta, vähentää tuontiriippuvuutta, parantaa paikallista työllisyyttä vihreiden työpaikkojen avulla ja edistää arvonmuodostusta alueilla. Mikro- ja pk-yrityksillekin olisi annettava mahdollisuus päästä osallisiksi ja hyötyä vihreän kehityksen ohjelmasta, mikä myös lisää vihreän kehityksen ohjelman ja energiakäänteen hyväksyntää.</w:t>
      </w:r>
    </w:p>
    <w:p w:rsidRPr="00DC308B" w:rsidR="0050749D" w:rsidP="00685417" w:rsidRDefault="0050749D" w14:paraId="23A67616" w14:textId="77777777">
      <w:pPr>
        <w:rPr>
          <w:color w:val="000000" w:themeColor="text1"/>
        </w:rPr>
      </w:pPr>
    </w:p>
    <w:p w:rsidRPr="00DC308B" w:rsidR="00685417" w:rsidP="00646DA7" w:rsidRDefault="00685417" w14:paraId="5780AE90" w14:textId="167F6ED1">
      <w:pPr>
        <w:pStyle w:val="Heading2"/>
        <w:keepNext/>
        <w:keepLines/>
        <w:numPr>
          <w:ilvl w:val="0"/>
          <w:numId w:val="0"/>
        </w:numPr>
        <w:ind w:left="567"/>
        <w:rPr>
          <w:color w:val="000000" w:themeColor="text1"/>
        </w:rPr>
      </w:pPr>
      <w:r>
        <w:rPr>
          <w:i/>
          <w:color w:val="000000" w:themeColor="text1"/>
        </w:rPr>
        <w:t>Energian sisämarkkinoita käsittelevä luku energiaunionin tilaa koskevassa katsauksessa ja kertomus energian sisämarkkinoiden edistymisestä</w:t>
      </w:r>
    </w:p>
    <w:p w:rsidRPr="00DC308B" w:rsidR="00685417" w:rsidP="00646DA7" w:rsidRDefault="00685417" w14:paraId="7EB5A2F3" w14:textId="77777777">
      <w:pPr>
        <w:keepNext/>
        <w:keepLines/>
      </w:pPr>
    </w:p>
    <w:p w:rsidRPr="00DC308B" w:rsidR="00685417" w:rsidP="00646DA7" w:rsidRDefault="00685417" w14:paraId="19393FE9" w14:textId="66A6F5C7">
      <w:pPr>
        <w:pStyle w:val="Heading2"/>
        <w:keepNext/>
        <w:keepLines/>
      </w:pPr>
      <w:r>
        <w:t xml:space="preserve">Komission mukaan puhtaan energian säädöspaketilla on parannettu edellytyksiä edistää kuluttajien osallistumista energiamarkkinoille ja luoda tasapuoliset toimintaedellytykset uusille markkinatoimijoille. Käytännössä kuitenkin vain sähkön sisämarkkinoita koskevan direktiivin säännöksillä on tältä osin merkitystä. Vielä ei ole mahdollista määrittää, miten pitkälti jäsenvaltiot ovat tosiasiassa saattaneet nämä säännökset osaksi kansallista lainsäädäntöään, joten komission päätelmä on ennenaikainen. ETSK kehottaa tekemään kiireellisesti syvällisen arvioinnin kuluttajien osallistumista koskevan tärkeän tavoitteen toteutumisesta – tässä yhteydessä olisi arvioitava myös tulonjakopoliittisia vaikutuksia, erityisesti kun on kyse pienituloisten kotitalouksien osallisuudesta. </w:t>
      </w:r>
    </w:p>
    <w:p w:rsidRPr="00DC308B" w:rsidR="00685417" w:rsidP="00685417" w:rsidRDefault="00685417" w14:paraId="44559C65" w14:textId="77777777"/>
    <w:p w:rsidRPr="00DC308B" w:rsidR="004E60D8" w:rsidP="00500770" w:rsidRDefault="00685417" w14:paraId="0CCF668F" w14:textId="070FAD7D">
      <w:pPr>
        <w:pStyle w:val="Heading2"/>
      </w:pPr>
      <w:r>
        <w:t>Komissio korostaa markkinahintasignaalien merkitystä muun muassa sijoittajien kannalta. Tämä on epäilemättä tärkeä näkökohta, mutta sitä on tarkasteltava eriytetymmin. Useimmat sähkön tukkumarkkinat kuvastavat vain lyhyen aikavälin hintatasoa. Se, toimivatko lyhyen aikavälin hinnat ylipäätään jonkinlaisena signaalina sijoittajille, on energiataloustieteessä kiistanalainen kysymys, kuten ETSK on jo aiemmissa lausunnoissaan</w:t>
      </w:r>
      <w:r w:rsidRPr="00DC308B">
        <w:rPr>
          <w:sz w:val="24"/>
          <w:szCs w:val="24"/>
          <w:vertAlign w:val="superscript"/>
        </w:rPr>
        <w:footnoteReference w:id="12"/>
      </w:r>
      <w:r>
        <w:t xml:space="preserve"> todennut. Näin ollen ei ole asianmukaista, että komissio puhuu tässä yhteydessä ”energian sisämarkkinoista” erittelemättä asiaa sen kummemmin. Energiaunionin onnistuminen edellyttää uutta markkinarakennetta ainakin sähköalalla. Uusiutuvia energialähteitä koskeva täysi tasevastuu ei yksistään riitä. ETSK kehottaakin komissiota esittämään mahdollisimman pian omat ajatuksensa uudesta markkinarakenteesta. Tässä yhteydessä olisi huolehdittava myös siitä, että kaikkiin markkinatoimijoihin sovelletaan tase- ja säätösähkömarkkinoilla samoja ehtoja. Tämä on aivan välttämätöntä myös energiajärjestelmän integroinnin onnistumisen kannalta.</w:t>
      </w:r>
      <w:r w:rsidRPr="00DC308B" w:rsidR="00135E40">
        <w:rPr>
          <w:noProof/>
          <w:sz w:val="24"/>
          <w:szCs w:val="24"/>
          <w:vertAlign w:val="superscript"/>
        </w:rPr>
        <w:footnoteReference w:id="13"/>
      </w:r>
    </w:p>
    <w:p w:rsidRPr="00DC308B" w:rsidR="004E60D8" w:rsidP="00C146D8" w:rsidRDefault="004E60D8" w14:paraId="2E5879A1" w14:textId="77777777"/>
    <w:p w:rsidRPr="00DC308B" w:rsidR="00685417" w:rsidP="00500770" w:rsidRDefault="000B2261" w14:paraId="235DA4DC" w14:textId="4EB83B7F">
      <w:pPr>
        <w:pStyle w:val="Heading2"/>
      </w:pPr>
      <w:r>
        <w:t>Lisäksi on pidettävä mielessä, ettei toimitusvarmuus- ja ilmastoneutraaliustavoitteita voida saavuttaa pelkästään hintasignaalien turvin.</w:t>
      </w:r>
    </w:p>
    <w:p w:rsidRPr="00DC308B" w:rsidR="00685417" w:rsidP="00685417" w:rsidRDefault="00685417" w14:paraId="5A8A616A" w14:textId="77777777"/>
    <w:p w:rsidRPr="00DC308B" w:rsidR="00685417" w:rsidP="00500770" w:rsidRDefault="00685417" w14:paraId="09C80304" w14:textId="75B62E0F">
      <w:pPr>
        <w:pStyle w:val="Heading2"/>
        <w:rPr>
          <w:noProof/>
        </w:rPr>
      </w:pPr>
      <w:r>
        <w:t xml:space="preserve">Komissio korostaa energian sisämarkkinoiden edistymistä koskevassa kertomuksessa erittäin perustellusti, että jäsenvaltioiden ja EU:n energiapolitiikan painopisteenä on edelleen oltava kilpailun mahdollistaminen tuotanto- ja toimitustasolla, mutta jättää avoimeksi, mitä tämä </w:t>
      </w:r>
      <w:r>
        <w:lastRenderedPageBreak/>
        <w:t xml:space="preserve">tarkoittaa käytännössä. Se, että kilpailua voidaan edistää vain kytkemällä markkinat yhteen, ei pidä paikkaansa eikä ole puhtaan energian säädöspaketin yhteydessä vahvistetun EU:n lainsäädännön mukaista. Sähkömarkkina-asetuksen 16 artiklan mukaisia kapasiteetin jakamista ja siirtorajoituksen hallintaa koskevia periaatteita sovellettaessa olisi otettava huomioon jäsenvaltioiden maantieteellinen sijainti, sillä se voisi myös oikeuttaa kapasiteetin asentamista koskevan määräajan pidentämisen. Aktiivisen kilpailun kannalta on joka tapauksessa tärkeää huolehtia ennen kaikkea markkinoille pääsystä, eritoten pienten toimijoiden pääsymahdollisuuksista, ja esimerkiksi digitalisaatiosta voi olla tässä paljon hyötyä. </w:t>
      </w:r>
    </w:p>
    <w:p w:rsidRPr="00DC308B" w:rsidR="00685417" w:rsidP="00685417" w:rsidRDefault="00685417" w14:paraId="1BB20C7F" w14:textId="77777777"/>
    <w:p w:rsidRPr="00DC308B" w:rsidR="00685417" w:rsidP="00500770" w:rsidRDefault="00685417" w14:paraId="18963609" w14:textId="46724D4D">
      <w:pPr>
        <w:pStyle w:val="Heading2"/>
        <w:rPr>
          <w:noProof/>
        </w:rPr>
      </w:pPr>
      <w:r>
        <w:t>Komissio toteaa energian sisämarkkinoiden edistymistä koskevassa kertomuksessa myös, että lämpövoimalat, esimerkiksi sekä sähköä että lämpöä tuottavat kaasuvoimalat, voivat tuoda järjestelmään merkittävää joustavuutta mutta huonosti suunnitellut kapasiteettimekanismit voivat vääristää sisämarkkinoita vakavalla tavalla. ETSK viittaa tältä osin asiakokonaisuuteen TEN/625 kuuluvassa lausunnossa esittämäänsä kantaan. Komitea kehottaa komissiota arvioimaan kriittisesti jäsenvaltioissa käytössä olevia kapasiteettimekanismeja, myös sähkön sisämarkkinoista annetun asetuksen 22 artiklan mukaisten vaatimusten noudattamisen osalta. Kyseisessä artiklassa asetetaan muun muassa raja-arvo, joka on 550 grammaa hiilidioksidia kilowattituntia kohti.</w:t>
      </w:r>
    </w:p>
    <w:p w:rsidRPr="00DC308B" w:rsidR="00685417" w:rsidP="00685417" w:rsidRDefault="00685417" w14:paraId="55A3BF33" w14:textId="77777777"/>
    <w:p w:rsidRPr="00DC308B" w:rsidR="00685417" w:rsidP="00500770" w:rsidRDefault="00685417" w14:paraId="05EAEFC2" w14:textId="537C0A69">
      <w:pPr>
        <w:pStyle w:val="Heading2"/>
        <w:rPr>
          <w:noProof/>
        </w:rPr>
      </w:pPr>
      <w:r>
        <w:t>Komissio muistuttaa energian sisämarkkinoiden edistymistä koskevassa kertomuksessa, että siirto- ja jakeluverkonhaltijoilta on yleisesti evätty mahdollisuus omistaa ja operoida sähkön varastointijärjestelmiä. ETSK on periaatteessa suhtautunut myönteisesti tähän päätökseen</w:t>
      </w:r>
      <w:r w:rsidRPr="00DC308B">
        <w:rPr>
          <w:noProof/>
          <w:sz w:val="24"/>
          <w:szCs w:val="24"/>
          <w:vertAlign w:val="superscript"/>
        </w:rPr>
        <w:footnoteReference w:id="14"/>
      </w:r>
      <w:r>
        <w:t>, mutta jakeluverkonhaltijoiden olisi voitava omistaa ja operoida sähkön varastointijärjestelmiä, jos se on verkon toiminnan kannalta tarkoituksenmukaista. Komitea katsoo myös, että tämän on kuljettava käsi kädessä älykkäiden markkinoiden vahvistamisen kanssa, jotta varastonhaltijoilla on kannustin toimia verkonhaltijoiden lähettämien signaalien mukaisesti ja hoitaa varastointi järjestelmän kannalta hyödyllisellä tavalla. Verkonhaltijat taas tarvitsevat asianmukaisia kannustimia signaalien lähettämiseen.</w:t>
      </w:r>
    </w:p>
    <w:p w:rsidRPr="00DC308B" w:rsidR="00685417" w:rsidP="00685417" w:rsidRDefault="00685417" w14:paraId="139350B0" w14:textId="0DE4B12D"/>
    <w:p w:rsidRPr="00DC308B" w:rsidR="00384DFA" w:rsidP="00C146D8" w:rsidRDefault="00384DFA" w14:paraId="196DD441" w14:textId="7A460097">
      <w:pPr>
        <w:pStyle w:val="Heading2"/>
      </w:pPr>
      <w:r>
        <w:t>Jakeluverkoilla on ratkaisevan tärkeä rooli älykkäiden markkinoiden luomisessa sekä energiakäänteen onnistumisessa kaiken kaikkiaan, ja siksi unionin energiapolitiikassa on tulevaisuudessa panostettava enemmän niiden nykyaikaistamiseen.</w:t>
      </w:r>
    </w:p>
    <w:p w:rsidRPr="00DC308B" w:rsidR="00384DFA" w:rsidP="00685417" w:rsidRDefault="00384DFA" w14:paraId="22FED3A9" w14:textId="77777777"/>
    <w:p w:rsidRPr="00DC308B" w:rsidR="00685417" w:rsidP="00500770" w:rsidRDefault="00685417" w14:paraId="158B395F" w14:textId="3AA2F7DF">
      <w:pPr>
        <w:pStyle w:val="Heading2"/>
      </w:pPr>
      <w:r>
        <w:t>ETSK on komission kanssa samaa mieltä siitä, ettei energiaverodirektiivin 2003/96/EY ensisijaista tavoitetta enää saavuteta. Komitea kannattaakin komission esittämää aikomusta ja kehottaa laatimaan direktiivin uudelleen kunnianhimoisin ottein ja uudistamaan samalla tavoin myös muita mekanismeja, joiden tavoitteena on poistaa fossiilisten polttoaineiden tuet ja sisällyttää ulkoiset kustannusten hintoihin.</w:t>
      </w:r>
    </w:p>
    <w:p w:rsidRPr="00DC308B" w:rsidR="00685417" w:rsidP="00685417" w:rsidRDefault="00685417" w14:paraId="1924A54A" w14:textId="77777777"/>
    <w:p w:rsidRPr="00DC308B" w:rsidR="00685417" w:rsidP="00500770" w:rsidRDefault="00685417" w14:paraId="2DE5CF11" w14:textId="1B8EAD02">
      <w:pPr>
        <w:pStyle w:val="Heading2"/>
        <w:rPr>
          <w:noProof/>
        </w:rPr>
      </w:pPr>
      <w:r>
        <w:t>ETSK korostaa jälleen kerran energiaköyhyysongelmaa ja kehottaa komissiota toteuttamaan konkreettisia toimenpiteitä, jotka menevät määritelmää koskevia abstrakteja suuntaviivoja ja seurantakeskusta pidemmälle. ETSK on korostanut useaan otteeseen, että kansalaisten laaja osallisuus energia-alalla on yksi monista keinoista, joilla ongelmaa voidaan helpottaa.</w:t>
      </w:r>
    </w:p>
    <w:p w:rsidRPr="00DC308B" w:rsidR="00685417" w:rsidP="00685417" w:rsidRDefault="00685417" w14:paraId="5A825D5A" w14:textId="345177E9"/>
    <w:p w:rsidRPr="00DC308B" w:rsidR="00A67921" w:rsidP="0092523D" w:rsidRDefault="00A67921" w14:paraId="3472064E" w14:textId="74D3B7F6">
      <w:pPr>
        <w:pStyle w:val="Heading2"/>
      </w:pPr>
      <w:r>
        <w:lastRenderedPageBreak/>
        <w:t>ETSK muistuttaa tässä yhteydessä kannastaan, jonka mukaan on olennaisen tärkeää estää kahden luokan energiayhteiskunnan muodostuminen. Tilanne ei saa kehittyä sellaiseksi, että vain taloudellisesti ja teknisesti hyvässä asemassa olevat kotitaloudet kykenevät hyötymään energiakäänteestä ja kaikki muut kotitaloudet joutuvat maksumiehiksi. Energiaköyhyydestä kärsivät kansalaiset eivät yleensä ole poliittisesti kaikkein vahvimmassa asemassa. Siksi komission olisi tehtävä enemmän sen varmistamiseksi, että jäsenvaltiot pyrkivät aktiivisesti puuttumaan energiaköyhyyteen tehokkaalla tavalla: sekä kaavailtu rakennusten energiakunnostukseen kannustava aloite (perusparannusaalto) että kansalaisten aktiivinen osallistaminen uusiutuviin energialähteisiin perustuvan sähkön tuotantoon voivat auttaa lievittämään energiaköyhyyttä. Lisäksi on otettava huomioon, että päästökauppajärjestelmän mahdollinen laajentaminen lämmitys- ja liikennealalle voi vaikuttaa siihen, miten oikeudenmukaisesti hyödyt ja kustannukset jakautuvat.</w:t>
      </w:r>
    </w:p>
    <w:p w:rsidRPr="00DC308B" w:rsidR="00A67921" w:rsidP="00685417" w:rsidRDefault="00A67921" w14:paraId="5AA8EB9F" w14:textId="77777777"/>
    <w:p w:rsidRPr="00DC308B" w:rsidR="00685417" w:rsidP="00DC308B" w:rsidRDefault="00685417" w14:paraId="564429B9" w14:textId="71FB1348">
      <w:pPr>
        <w:keepNext/>
        <w:ind w:left="567"/>
        <w:rPr>
          <w:i/>
          <w:color w:val="000000" w:themeColor="text1"/>
        </w:rPr>
      </w:pPr>
      <w:r>
        <w:rPr>
          <w:i/>
          <w:color w:val="000000" w:themeColor="text1"/>
        </w:rPr>
        <w:t>Tutkimusta, innovointia ja kilpailukykyä käsittelevä luku energiaunionin tilaa koskevassa katsauksessa</w:t>
      </w:r>
    </w:p>
    <w:p w:rsidRPr="00DC308B" w:rsidR="00685417" w:rsidP="00DC308B" w:rsidRDefault="00685417" w14:paraId="10018ADB" w14:textId="77777777">
      <w:pPr>
        <w:keepNext/>
      </w:pPr>
    </w:p>
    <w:p w:rsidRPr="00DC308B" w:rsidR="00685417" w:rsidP="00500770" w:rsidRDefault="00685417" w14:paraId="2638B593" w14:textId="623CF80E">
      <w:pPr>
        <w:pStyle w:val="Heading2"/>
        <w:rPr>
          <w:noProof/>
        </w:rPr>
      </w:pPr>
      <w:r>
        <w:t>ETSK pelkää, että EU:n takamatka tietyillä aloilla, esimerkiksi aurinkoakku- ja litiumioniakkuteknologiassa, johtuu liian vähäisestä kysynnästä. Komitea kehottaakin komissiota omaksumaan laaja-alaisemman strategian: EU tarvitsee aktiivisia teollisuuspoliittisia aloitteita Kiinan määräävän markkina-aseman murtamiseksi. Komission ehdotus akkuja koskevaksi asetukseksi on esimerkki oikeansuuntaisesta askeleesta. Lisäksi tulevassa energiajärjestelmässä olisi vahvistettava hajautettuja rakenteita, sillä tämä edistää esimerkiksi akkujen kysyntää, luo mittakaavaetuja ja tekee akuista siten hinnoiltaan houkuttelevia.</w:t>
      </w:r>
    </w:p>
    <w:p w:rsidRPr="00DC308B" w:rsidR="00685417" w:rsidP="00685417" w:rsidRDefault="00685417" w14:paraId="689A7CDA" w14:textId="77777777"/>
    <w:p w:rsidRPr="00DC308B" w:rsidR="00685417" w:rsidP="00646DA7" w:rsidRDefault="00685417" w14:paraId="09B496BC" w14:textId="37547AB0">
      <w:pPr>
        <w:pStyle w:val="Heading2"/>
        <w:keepNext/>
        <w:keepLines/>
        <w:numPr>
          <w:ilvl w:val="0"/>
          <w:numId w:val="0"/>
        </w:numPr>
        <w:ind w:left="567"/>
        <w:rPr>
          <w:i/>
          <w:color w:val="000000" w:themeColor="text1"/>
        </w:rPr>
      </w:pPr>
      <w:r>
        <w:rPr>
          <w:i/>
        </w:rPr>
        <w:t>Energiaunionia ja Euroopan vihreän kehityksen ohjelmaa käsittelevä luku energiaunionin tilaa koskevassa katsauksessa</w:t>
      </w:r>
    </w:p>
    <w:p w:rsidRPr="00DC308B" w:rsidR="00685417" w:rsidP="00646DA7" w:rsidRDefault="00685417" w14:paraId="70074E1C" w14:textId="77777777">
      <w:pPr>
        <w:keepNext/>
        <w:keepLines/>
      </w:pPr>
    </w:p>
    <w:p w:rsidRPr="00DC308B" w:rsidR="00685417" w:rsidP="00500770" w:rsidRDefault="00685417" w14:paraId="634C81A1" w14:textId="03F7D60C">
      <w:pPr>
        <w:pStyle w:val="Heading2"/>
        <w:rPr>
          <w:noProof/>
        </w:rPr>
      </w:pPr>
      <w:r>
        <w:t>ETSK tukee komission pyrkimyksiä ajaa kunnianhimoisia ilmastosopimuksia maailmanlaajuisella tasolla. Tämä edellyttää päästötullien käyttöönottoa sekä ilmastonsuojelun (ja muiden kestävän kehityksen tavoitteiden) entistä kunnianhimoisempaa ja konkreettisempaa huomioon ottamista kansainvälisissä kauppasopimuksissa.</w:t>
      </w:r>
      <w:r w:rsidRPr="00DC308B">
        <w:rPr>
          <w:noProof/>
          <w:sz w:val="24"/>
          <w:szCs w:val="24"/>
          <w:vertAlign w:val="superscript"/>
        </w:rPr>
        <w:footnoteReference w:id="15"/>
      </w:r>
    </w:p>
    <w:p w:rsidRPr="00DC308B" w:rsidR="00685417" w:rsidP="00685417" w:rsidRDefault="00685417" w14:paraId="0915E844" w14:textId="77777777"/>
    <w:p w:rsidRPr="00DC308B" w:rsidR="00685417" w:rsidP="00DC308B" w:rsidRDefault="00685417" w14:paraId="287C25F6" w14:textId="1EED327C">
      <w:pPr>
        <w:pStyle w:val="Heading2"/>
        <w:keepNext/>
        <w:numPr>
          <w:ilvl w:val="0"/>
          <w:numId w:val="0"/>
        </w:numPr>
        <w:ind w:left="567"/>
        <w:rPr>
          <w:i/>
          <w:color w:val="000000" w:themeColor="text1"/>
        </w:rPr>
      </w:pPr>
      <w:r>
        <w:rPr>
          <w:i/>
          <w:color w:val="000000" w:themeColor="text1"/>
        </w:rPr>
        <w:t>Kansallisten energia- ja ilmastosuunnitelmien arviointia käsittelevä tiedonanto</w:t>
      </w:r>
    </w:p>
    <w:p w:rsidRPr="00DC308B" w:rsidR="00685417" w:rsidP="00DC308B" w:rsidRDefault="00685417" w14:paraId="3DC91D1E" w14:textId="77777777">
      <w:pPr>
        <w:keepNext/>
      </w:pPr>
    </w:p>
    <w:p w:rsidRPr="00DC308B" w:rsidR="00685417" w:rsidP="00500770" w:rsidRDefault="00685417" w14:paraId="676EDE10" w14:textId="0CB6943E">
      <w:pPr>
        <w:pStyle w:val="Heading2"/>
        <w:rPr>
          <w:noProof/>
        </w:rPr>
      </w:pPr>
      <w:r>
        <w:t xml:space="preserve">ETSK ei ymmärrä, miksi komission kritiikki uusiutuvien energialähteiden potentiaalin riittämättömästä huomioon ottamisesta koskee vain merellä tapahtuvaa energiantuotantoa. Komitea kehottaa komissiota luopumaan omasta tavastaan suosia yksipuolisesti avomeriteknologiaa maalla tapahtuvan aurinkosähkön- ja tuulienergiantuotannon kustannuksella ja esittämään erilliset strategiat viimeksi mainittujen teknologioiden kehittämiseksi. </w:t>
      </w:r>
    </w:p>
    <w:p w:rsidRPr="00DC308B" w:rsidR="00685417" w:rsidP="00685417" w:rsidRDefault="00685417" w14:paraId="234A07AC" w14:textId="77777777"/>
    <w:p w:rsidRPr="00DC308B" w:rsidR="00685417" w:rsidP="00500770" w:rsidRDefault="00685417" w14:paraId="6A150EA0" w14:textId="4EC59E53">
      <w:pPr>
        <w:pStyle w:val="Heading2"/>
      </w:pPr>
      <w:r>
        <w:t xml:space="preserve">ETSK panee tyytyväisenä merkille, että komissio tunnustaa uusiutuvien energialähteiden tarjoavan mahdollisuuksia uusien työpaikkojen luomiseen. Komitea korostaa kuitenkin, että tämän potentiaalin täysimääräinen hyödyntäminen ei hoidu itsestään vaan edellyttää aktiivista politiikkaa erityisesti työpaikkojen laadun varmistamiseksi. Tässä yhteydessä on täysin </w:t>
      </w:r>
      <w:r>
        <w:lastRenderedPageBreak/>
        <w:t>käsittämätöntä, että komissio kiinnittää aurinkosähköön niin vähän huomiota, etenkin kun aurinkosähköala luo kaikkein eniten työpaikkoja, kuten tiedonannossa todetaan.</w:t>
      </w:r>
    </w:p>
    <w:p w:rsidRPr="00DC308B" w:rsidR="00685417" w:rsidP="00685417" w:rsidRDefault="00685417" w14:paraId="44DEF25B" w14:textId="77777777"/>
    <w:p w:rsidRPr="00DC308B" w:rsidR="00685417" w:rsidP="00500770" w:rsidRDefault="00685417" w14:paraId="38046BEB" w14:textId="6B6188E1">
      <w:pPr>
        <w:pStyle w:val="Heading2"/>
      </w:pPr>
      <w:r>
        <w:t>ETSK kehottaa komissiota muotoilemaan tarjouskilpailusäännöt uusiutuvia energialähteitä koskevan direktiivin tulevan tarkistuksen yhteydessä siten, että uusiutuvaa energiaa tuottavien yhteisöjen ja pk-yritysten on nykyistä helpompi osallistua tarjouskilpailuihin.</w:t>
      </w:r>
    </w:p>
    <w:p w:rsidRPr="00DC308B" w:rsidR="00685417" w:rsidP="00685417" w:rsidRDefault="00685417" w14:paraId="1CACEE90" w14:textId="77777777"/>
    <w:p w:rsidRPr="00DC308B" w:rsidR="00685417" w:rsidP="00500770" w:rsidRDefault="00685417" w14:paraId="3148DC23" w14:textId="77777777">
      <w:pPr>
        <w:pStyle w:val="Heading2"/>
      </w:pPr>
      <w:r>
        <w:t>ETSK on komission kanssa samaa mieltä siitä, että investoinnit matalan lämpötilan kaukolämpöjärjestelmiin ovat erittäin toivottavia. Olisikin käynnistettävä asiaa koskeva aloite.</w:t>
      </w:r>
    </w:p>
    <w:p w:rsidRPr="00DC308B" w:rsidR="00685417" w:rsidP="00685417" w:rsidRDefault="00685417" w14:paraId="5331EBAD" w14:textId="77777777"/>
    <w:p w:rsidRPr="00DC308B" w:rsidR="00685417" w:rsidP="00500770" w:rsidRDefault="00685417" w14:paraId="3D2B3832" w14:textId="3F39BEB3">
      <w:pPr>
        <w:pStyle w:val="Heading2"/>
      </w:pPr>
      <w:r>
        <w:t>Hiilinielut ovat tärkeä ilmastonsuojeluväline. Jäsenvaltioiden kansallisissa energia- ja ilmastosuunnitelmissa esiin tuotu huoli luonnollisten häiriötekijöiden lisääntymisestä on kuitenkin otettava vakavasti, ja siksi LULUCF-hyvityksiä olisi aina tarkasteltava vain muita ilmastonsuojelumahdollisuuksia täydentävänä tekijänä.</w:t>
      </w:r>
    </w:p>
    <w:p w:rsidR="00685417" w:rsidP="00685417" w:rsidRDefault="00685417" w14:paraId="0660F0E8" w14:textId="1ECD62CB"/>
    <w:p w:rsidR="00AB3327" w:rsidP="00AB3327" w:rsidRDefault="00AB3327" w14:paraId="45BADF80" w14:textId="044EA587">
      <w:pPr>
        <w:outlineLvl w:val="1"/>
      </w:pPr>
      <w:r>
        <w:t>Bryssel 24. maaliskuuta 2021</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1A281B" w:rsidR="00267FEF" w:rsidP="00AB3327" w:rsidRDefault="00482A20" w14:paraId="5F941438" w14:textId="35AE1939">
      <w:pPr>
        <w:outlineLvl w:val="1"/>
      </w:pPr>
      <w:r>
        <w:t>Christa Schweng</w:t>
      </w:r>
    </w:p>
    <w:p w:rsidRPr="00CA4297" w:rsidR="00AB3327" w:rsidP="00AB3327" w:rsidRDefault="00482A20" w14:paraId="6B9A2D25" w14:textId="29261795">
      <w:r>
        <w:rPr>
          <w:color w:val="333333"/>
          <w:shd w:val="clear" w:color="auto" w:fill="FFFFFF"/>
        </w:rPr>
        <w:t>Euroopan talous- ja sosiaalikomitean puheenjohtaja</w:t>
      </w:r>
    </w:p>
    <w:p w:rsidRPr="00DC308B" w:rsidR="00646AC2" w:rsidP="00BC3F01" w:rsidRDefault="00646AC2" w14:paraId="5B3BE5E5" w14:textId="77777777">
      <w:pPr>
        <w:jc w:val="center"/>
      </w:pPr>
      <w:r>
        <w:t>_____________</w:t>
      </w:r>
    </w:p>
    <w:sectPr w:rsidRPr="00DC308B" w:rsidR="00646AC2" w:rsidSect="002561CA">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763E7" w14:textId="77777777" w:rsidR="00395D5B" w:rsidRDefault="00395D5B">
      <w:r>
        <w:separator/>
      </w:r>
    </w:p>
  </w:endnote>
  <w:endnote w:type="continuationSeparator" w:id="0">
    <w:p w14:paraId="7E031B62" w14:textId="77777777" w:rsidR="00395D5B" w:rsidRDefault="0039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66D2217F"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C27D12">
      <w:rPr>
        <w:noProof/>
      </w:rPr>
      <w:t>1</w:t>
    </w:r>
    <w:r>
      <w:fldChar w:fldCharType="end"/>
    </w:r>
    <w:r>
      <w:t>/</w:t>
    </w:r>
    <w:fldSimple w:instr=" NUMPAGES ">
      <w:r w:rsidR="00C27D12">
        <w:rPr>
          <w:noProof/>
        </w:rPr>
        <w:t>14</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2561CA" w:rsidRDefault="00024C5A" w:rsidP="00256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41DDCD84"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C27D12">
      <w:rPr>
        <w:noProof/>
      </w:rPr>
      <w:t>14</w:t>
    </w:r>
    <w:r>
      <w:fldChar w:fldCharType="end"/>
    </w:r>
    <w:r>
      <w:t>/</w:t>
    </w:r>
    <w:fldSimple w:instr=" NUMPAGES ">
      <w:r w:rsidR="00C27D12">
        <w:rPr>
          <w:noProof/>
        </w:rPr>
        <w:t>14</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2561CA" w:rsidRDefault="00024C5A" w:rsidP="00256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9C08" w14:textId="77777777" w:rsidR="00395D5B" w:rsidRDefault="00395D5B">
      <w:r>
        <w:separator/>
      </w:r>
    </w:p>
  </w:footnote>
  <w:footnote w:type="continuationSeparator" w:id="0">
    <w:p w14:paraId="54F1CA9C" w14:textId="77777777" w:rsidR="00395D5B" w:rsidRDefault="00395D5B">
      <w:r>
        <w:continuationSeparator/>
      </w:r>
    </w:p>
  </w:footnote>
  <w:footnote w:id="1">
    <w:p w14:paraId="52DB30A6" w14:textId="63658433" w:rsidR="00024C5A" w:rsidRPr="00DF21DA" w:rsidRDefault="00024C5A">
      <w:pPr>
        <w:pStyle w:val="FootnoteText"/>
      </w:pPr>
      <w:r>
        <w:rPr>
          <w:sz w:val="24"/>
          <w:szCs w:val="24"/>
          <w:vertAlign w:val="superscript"/>
        </w:rPr>
        <w:footnoteRef/>
      </w:r>
      <w:r>
        <w:tab/>
      </w:r>
      <w:hyperlink r:id="rId1" w:history="1">
        <w:r>
          <w:rPr>
            <w:rStyle w:val="Hyperlink"/>
          </w:rPr>
          <w:t>COM(2015) 80 final</w:t>
        </w:r>
      </w:hyperlink>
    </w:p>
  </w:footnote>
  <w:footnote w:id="2">
    <w:p w14:paraId="69D68615" w14:textId="11E16266" w:rsidR="00024C5A" w:rsidRPr="00CA11FD" w:rsidRDefault="00024C5A">
      <w:pPr>
        <w:pStyle w:val="FootnoteText"/>
      </w:pPr>
      <w:r>
        <w:rPr>
          <w:sz w:val="24"/>
          <w:szCs w:val="24"/>
          <w:vertAlign w:val="superscript"/>
        </w:rPr>
        <w:footnoteRef/>
      </w:r>
      <w:r>
        <w:tab/>
      </w:r>
      <w:hyperlink r:id="rId2" w:history="1">
        <w:r>
          <w:rPr>
            <w:rStyle w:val="Hyperlink"/>
          </w:rPr>
          <w:t>COM(2020) 950 final – Liite 2</w:t>
        </w:r>
      </w:hyperlink>
    </w:p>
  </w:footnote>
  <w:footnote w:id="3">
    <w:p w14:paraId="1AE824D7" w14:textId="7403A7F0" w:rsidR="00024C5A" w:rsidRPr="009604B4" w:rsidRDefault="00024C5A" w:rsidP="00DF21DA">
      <w:pPr>
        <w:pStyle w:val="FootnoteText"/>
      </w:pPr>
      <w:r>
        <w:footnoteRef/>
      </w:r>
      <w:r>
        <w:tab/>
        <w:t>Tämä on hämmästyttävää, onhan EU:ssa jo yli 30 vuoden ajan keskusteltu tarpeesta poistaa ympäristön kannalta haitalliset tuet.</w:t>
      </w:r>
    </w:p>
  </w:footnote>
  <w:footnote w:id="4">
    <w:p w14:paraId="0AD2F20D" w14:textId="20ECBCC5" w:rsidR="00024C5A" w:rsidRPr="00C879CB" w:rsidRDefault="00024C5A" w:rsidP="00392EF1">
      <w:pPr>
        <w:pStyle w:val="FootnoteText"/>
      </w:pPr>
      <w:r>
        <w:rPr>
          <w:sz w:val="24"/>
          <w:szCs w:val="24"/>
          <w:vertAlign w:val="superscript"/>
        </w:rPr>
        <w:footnoteRef/>
      </w:r>
      <w:r>
        <w:tab/>
        <w:t>Ja puheenjohtajavaltio Saksan.</w:t>
      </w:r>
    </w:p>
  </w:footnote>
  <w:footnote w:id="5">
    <w:p w14:paraId="599C8B67" w14:textId="46E239DB" w:rsidR="00024C5A" w:rsidRDefault="00024C5A" w:rsidP="00392EF1">
      <w:pPr>
        <w:pStyle w:val="FootnoteText"/>
      </w:pPr>
      <w:r>
        <w:rPr>
          <w:sz w:val="24"/>
          <w:szCs w:val="24"/>
          <w:vertAlign w:val="superscript"/>
        </w:rPr>
        <w:footnoteRef/>
      </w:r>
      <w:r>
        <w:t xml:space="preserve"> </w:t>
      </w:r>
      <w:r>
        <w:tab/>
      </w:r>
      <w:hyperlink r:id="rId3" w:history="1">
        <w:r>
          <w:rPr>
            <w:rStyle w:val="Hyperlink"/>
          </w:rPr>
          <w:t>EUVL C 47, 11.2.2020, s. 30</w:t>
        </w:r>
      </w:hyperlink>
      <w:r>
        <w:t xml:space="preserve"> ja </w:t>
      </w:r>
      <w:hyperlink r:id="rId4" w:history="1">
        <w:r>
          <w:rPr>
            <w:rStyle w:val="Hyperlink"/>
          </w:rPr>
          <w:t>EUVL C 62, 15.2.2019, s. 269</w:t>
        </w:r>
      </w:hyperlink>
    </w:p>
  </w:footnote>
  <w:footnote w:id="6">
    <w:p w14:paraId="659CCE79" w14:textId="76C2E3F6" w:rsidR="00024C5A" w:rsidRDefault="00024C5A" w:rsidP="009604B4">
      <w:pPr>
        <w:pStyle w:val="FootnoteText"/>
        <w:keepLines w:val="0"/>
      </w:pPr>
      <w:r>
        <w:rPr>
          <w:sz w:val="24"/>
          <w:szCs w:val="24"/>
          <w:vertAlign w:val="superscript"/>
        </w:rPr>
        <w:footnoteRef/>
      </w:r>
      <w:r>
        <w:t xml:space="preserve"> </w:t>
      </w:r>
      <w:r>
        <w:tab/>
      </w:r>
      <w:hyperlink r:id="rId5" w:history="1">
        <w:r>
          <w:rPr>
            <w:rStyle w:val="Hyperlink"/>
          </w:rPr>
          <w:t>EUVL C 429, 11.12.2020, s. 85</w:t>
        </w:r>
      </w:hyperlink>
    </w:p>
  </w:footnote>
  <w:footnote w:id="7">
    <w:p w14:paraId="2D5D8D92" w14:textId="6127B118" w:rsidR="00311BE2" w:rsidRDefault="00311BE2" w:rsidP="009604B4">
      <w:pPr>
        <w:pStyle w:val="FootnoteText"/>
        <w:keepLines w:val="0"/>
      </w:pPr>
      <w:r>
        <w:rPr>
          <w:sz w:val="24"/>
          <w:szCs w:val="24"/>
          <w:vertAlign w:val="superscript"/>
        </w:rPr>
        <w:footnoteRef/>
      </w:r>
      <w:r>
        <w:tab/>
      </w:r>
      <w:hyperlink r:id="rId6" w:history="1">
        <w:r>
          <w:rPr>
            <w:rStyle w:val="Hyperlink"/>
          </w:rPr>
          <w:t>COM(2015) 80 final, s. 13</w:t>
        </w:r>
      </w:hyperlink>
    </w:p>
  </w:footnote>
  <w:footnote w:id="8">
    <w:p w14:paraId="3E17A2AB" w14:textId="4AC1D091" w:rsidR="00024C5A" w:rsidRDefault="00024C5A" w:rsidP="009604B4">
      <w:pPr>
        <w:pStyle w:val="FootnoteText"/>
        <w:keepLines w:val="0"/>
      </w:pPr>
      <w:r>
        <w:rPr>
          <w:sz w:val="24"/>
          <w:szCs w:val="24"/>
          <w:vertAlign w:val="superscript"/>
        </w:rPr>
        <w:footnoteRef/>
      </w:r>
      <w:r>
        <w:t xml:space="preserve"> </w:t>
      </w:r>
      <w:r>
        <w:tab/>
      </w:r>
      <w:hyperlink r:id="rId7" w:history="1">
        <w:r>
          <w:rPr>
            <w:rStyle w:val="Hyperlink"/>
          </w:rPr>
          <w:t>EUVL C 429, 11.12.2020, s. 85</w:t>
        </w:r>
      </w:hyperlink>
    </w:p>
  </w:footnote>
  <w:footnote w:id="9">
    <w:p w14:paraId="3F4602BC" w14:textId="086B2545" w:rsidR="00311BE2" w:rsidRDefault="00311BE2" w:rsidP="00311BE2">
      <w:pPr>
        <w:ind w:left="567" w:hanging="567"/>
      </w:pPr>
      <w:r>
        <w:rPr>
          <w:sz w:val="24"/>
          <w:szCs w:val="24"/>
          <w:vertAlign w:val="superscript"/>
        </w:rPr>
        <w:footnoteRef/>
      </w:r>
      <w:r>
        <w:tab/>
      </w:r>
      <w:r>
        <w:rPr>
          <w:sz w:val="16"/>
        </w:rPr>
        <w:t xml:space="preserve">Ks. Hirschl, B., Aretz, A., Bost, M., Tapia, M. ja Gößling-Reisemann, S. (2018), </w:t>
      </w:r>
      <w:r>
        <w:rPr>
          <w:i/>
          <w:sz w:val="16"/>
        </w:rPr>
        <w:t>Vulnerabilität und Resilienz des digitalen Stromsystems</w:t>
      </w:r>
      <w:r>
        <w:rPr>
          <w:sz w:val="16"/>
        </w:rPr>
        <w:t xml:space="preserve"> (Digitaalisen sähköjärjestelmän haavoittuvuus ja kestokyky), loppuraportti, Berlin, Bremen, ladattavissa osoitteesta</w:t>
      </w:r>
      <w:r>
        <w:t xml:space="preserve"> </w:t>
      </w:r>
      <w:hyperlink r:id="rId8" w:history="1">
        <w:r>
          <w:rPr>
            <w:rStyle w:val="Hyperlink"/>
            <w:sz w:val="16"/>
          </w:rPr>
          <w:t>www.strom-resilienz.de</w:t>
        </w:r>
      </w:hyperlink>
    </w:p>
  </w:footnote>
  <w:footnote w:id="10">
    <w:p w14:paraId="37AA1ADA" w14:textId="62F7D6C0" w:rsidR="000B2261" w:rsidRDefault="000B2261" w:rsidP="000B2261">
      <w:pPr>
        <w:pStyle w:val="FootnoteText"/>
      </w:pPr>
      <w:r>
        <w:rPr>
          <w:sz w:val="24"/>
          <w:szCs w:val="24"/>
          <w:vertAlign w:val="superscript"/>
        </w:rPr>
        <w:footnoteRef/>
      </w:r>
      <w:r>
        <w:t xml:space="preserve"> </w:t>
      </w:r>
      <w:r>
        <w:tab/>
      </w:r>
      <w:hyperlink r:id="rId9" w:history="1">
        <w:r>
          <w:rPr>
            <w:rStyle w:val="Hyperlink"/>
          </w:rPr>
          <w:t>EUVL C 123, 9.4.2021, s. 30</w:t>
        </w:r>
      </w:hyperlink>
    </w:p>
  </w:footnote>
  <w:footnote w:id="11">
    <w:p w14:paraId="13D4EF52" w14:textId="6430A19A" w:rsidR="000B2261" w:rsidRDefault="000B2261" w:rsidP="000B2261">
      <w:pPr>
        <w:pStyle w:val="FootnoteText"/>
      </w:pPr>
      <w:r>
        <w:rPr>
          <w:sz w:val="24"/>
          <w:szCs w:val="24"/>
          <w:vertAlign w:val="superscript"/>
        </w:rPr>
        <w:footnoteRef/>
      </w:r>
      <w:r>
        <w:t xml:space="preserve"> </w:t>
      </w:r>
      <w:r>
        <w:tab/>
      </w:r>
      <w:hyperlink r:id="rId10" w:history="1">
        <w:r>
          <w:rPr>
            <w:rStyle w:val="Hyperlink"/>
          </w:rPr>
          <w:t>EUVL C 123, 9.4.2021, s. 22</w:t>
        </w:r>
      </w:hyperlink>
    </w:p>
  </w:footnote>
  <w:footnote w:id="12">
    <w:p w14:paraId="491E1C95" w14:textId="1E933435" w:rsidR="00024C5A" w:rsidRDefault="00024C5A" w:rsidP="00685417">
      <w:pPr>
        <w:pStyle w:val="FootnoteText"/>
      </w:pPr>
      <w:r>
        <w:rPr>
          <w:sz w:val="24"/>
          <w:szCs w:val="24"/>
          <w:vertAlign w:val="superscript"/>
        </w:rPr>
        <w:footnoteRef/>
      </w:r>
      <w:r>
        <w:t xml:space="preserve"> </w:t>
      </w:r>
      <w:r>
        <w:tab/>
      </w:r>
      <w:hyperlink r:id="rId11" w:history="1">
        <w:r>
          <w:rPr>
            <w:rStyle w:val="Hyperlink"/>
          </w:rPr>
          <w:t>EUVL C 82, 3.3.2016, s. 13</w:t>
        </w:r>
      </w:hyperlink>
    </w:p>
  </w:footnote>
  <w:footnote w:id="13">
    <w:p w14:paraId="288B3287" w14:textId="01145047" w:rsidR="00135E40" w:rsidRDefault="00135E40" w:rsidP="00135E40">
      <w:pPr>
        <w:pStyle w:val="FootnoteText"/>
      </w:pPr>
      <w:r>
        <w:rPr>
          <w:sz w:val="24"/>
          <w:szCs w:val="24"/>
          <w:vertAlign w:val="superscript"/>
        </w:rPr>
        <w:footnoteRef/>
      </w:r>
      <w:r>
        <w:t xml:space="preserve"> </w:t>
      </w:r>
      <w:r>
        <w:tab/>
      </w:r>
      <w:hyperlink r:id="rId12" w:history="1">
        <w:r>
          <w:rPr>
            <w:rStyle w:val="Hyperlink"/>
          </w:rPr>
          <w:t>EUVL C 364, 28.10.2020, s. 158</w:t>
        </w:r>
      </w:hyperlink>
    </w:p>
  </w:footnote>
  <w:footnote w:id="14">
    <w:p w14:paraId="5632850A" w14:textId="03585AAF" w:rsidR="00024C5A" w:rsidRDefault="00024C5A" w:rsidP="00685417">
      <w:pPr>
        <w:pStyle w:val="FootnoteText"/>
      </w:pPr>
      <w:r>
        <w:rPr>
          <w:sz w:val="24"/>
          <w:szCs w:val="24"/>
          <w:vertAlign w:val="superscript"/>
        </w:rPr>
        <w:footnoteRef/>
      </w:r>
      <w:r>
        <w:t xml:space="preserve"> </w:t>
      </w:r>
      <w:r>
        <w:tab/>
      </w:r>
      <w:hyperlink r:id="rId13" w:history="1">
        <w:r>
          <w:rPr>
            <w:rStyle w:val="Hyperlink"/>
          </w:rPr>
          <w:t>EUVL C 288, 31.8.2017, s. 91</w:t>
        </w:r>
      </w:hyperlink>
    </w:p>
  </w:footnote>
  <w:footnote w:id="15">
    <w:p w14:paraId="6B26B08A" w14:textId="6F9BA977" w:rsidR="00024C5A" w:rsidRDefault="00024C5A" w:rsidP="00685417">
      <w:pPr>
        <w:pStyle w:val="FootnoteText"/>
      </w:pPr>
      <w:r>
        <w:rPr>
          <w:sz w:val="24"/>
          <w:szCs w:val="24"/>
          <w:vertAlign w:val="superscript"/>
        </w:rPr>
        <w:footnoteRef/>
      </w:r>
      <w:r>
        <w:tab/>
      </w:r>
      <w:hyperlink r:id="rId14" w:history="1">
        <w:r>
          <w:rPr>
            <w:rStyle w:val="Hyperlink"/>
          </w:rPr>
          <w:t>EUVL C 81, 2.3.2018, s. 44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2561CA" w:rsidRDefault="00024C5A" w:rsidP="00256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404C972D" w:rsidR="00024C5A" w:rsidRPr="002561CA" w:rsidRDefault="00024C5A" w:rsidP="00256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2561CA" w:rsidRDefault="00024C5A" w:rsidP="00256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4D5"/>
    <w:rsid w:val="00252A21"/>
    <w:rsid w:val="00253E4F"/>
    <w:rsid w:val="002542E4"/>
    <w:rsid w:val="002561CA"/>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16AC"/>
    <w:rsid w:val="002B2DF7"/>
    <w:rsid w:val="002C0595"/>
    <w:rsid w:val="002C3BF4"/>
    <w:rsid w:val="002C3CFE"/>
    <w:rsid w:val="002C749F"/>
    <w:rsid w:val="002D0068"/>
    <w:rsid w:val="002D1723"/>
    <w:rsid w:val="002D1B83"/>
    <w:rsid w:val="002D3923"/>
    <w:rsid w:val="002E0A4C"/>
    <w:rsid w:val="002E14C1"/>
    <w:rsid w:val="002E7B33"/>
    <w:rsid w:val="002F059B"/>
    <w:rsid w:val="002F5B0B"/>
    <w:rsid w:val="00300924"/>
    <w:rsid w:val="00300FB5"/>
    <w:rsid w:val="00301D8C"/>
    <w:rsid w:val="0030596E"/>
    <w:rsid w:val="003073C3"/>
    <w:rsid w:val="0031121F"/>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779D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D7503"/>
    <w:rsid w:val="005E2164"/>
    <w:rsid w:val="005E2F07"/>
    <w:rsid w:val="005E2FEA"/>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43D9"/>
    <w:rsid w:val="007B4C0A"/>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E42"/>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274"/>
    <w:rsid w:val="009073C0"/>
    <w:rsid w:val="009118C7"/>
    <w:rsid w:val="009225B6"/>
    <w:rsid w:val="0092428C"/>
    <w:rsid w:val="0092523D"/>
    <w:rsid w:val="00925397"/>
    <w:rsid w:val="00933A21"/>
    <w:rsid w:val="00934C10"/>
    <w:rsid w:val="0093662A"/>
    <w:rsid w:val="0094060C"/>
    <w:rsid w:val="00942C4B"/>
    <w:rsid w:val="00944196"/>
    <w:rsid w:val="00945F12"/>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C01C43"/>
    <w:rsid w:val="00C07126"/>
    <w:rsid w:val="00C146D8"/>
    <w:rsid w:val="00C158A2"/>
    <w:rsid w:val="00C16853"/>
    <w:rsid w:val="00C263F0"/>
    <w:rsid w:val="00C27D12"/>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0B5"/>
    <w:rsid w:val="00DC1347"/>
    <w:rsid w:val="00DC308B"/>
    <w:rsid w:val="00DC311E"/>
    <w:rsid w:val="00DC3154"/>
    <w:rsid w:val="00DC39F1"/>
    <w:rsid w:val="00DE2008"/>
    <w:rsid w:val="00DE4B35"/>
    <w:rsid w:val="00DE64CF"/>
    <w:rsid w:val="00DF19C1"/>
    <w:rsid w:val="00DF21DA"/>
    <w:rsid w:val="00DF54CA"/>
    <w:rsid w:val="00DF56C9"/>
    <w:rsid w:val="00DF5B64"/>
    <w:rsid w:val="00DF7201"/>
    <w:rsid w:val="00E02794"/>
    <w:rsid w:val="00E043E3"/>
    <w:rsid w:val="00E04660"/>
    <w:rsid w:val="00E0505B"/>
    <w:rsid w:val="00E11280"/>
    <w:rsid w:val="00E12359"/>
    <w:rsid w:val="00E152FF"/>
    <w:rsid w:val="00E1539B"/>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0BF4"/>
    <w:rsid w:val="00EB491E"/>
    <w:rsid w:val="00EB681B"/>
    <w:rsid w:val="00EB7363"/>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77C90"/>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C0FE5"/>
    <w:rsid w:val="00FC2EF0"/>
    <w:rsid w:val="00FD1ABC"/>
    <w:rsid w:val="00FD22AB"/>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i-FI"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fi-FI" w:eastAsia="en-US" w:bidi="ar-SA"/>
    </w:rPr>
  </w:style>
  <w:style w:type="character" w:customStyle="1" w:styleId="Heading2Char">
    <w:name w:val="Heading 2 Char"/>
    <w:basedOn w:val="DefaultParagraphFont"/>
    <w:link w:val="Heading2"/>
    <w:locked/>
    <w:rsid w:val="00CB1536"/>
    <w:rPr>
      <w:lang w:val="fi-FI" w:eastAsia="en-US" w:bidi="ar-SA"/>
    </w:rPr>
  </w:style>
  <w:style w:type="character" w:customStyle="1" w:styleId="Heading3Char">
    <w:name w:val="Heading 3 Char"/>
    <w:basedOn w:val="DefaultParagraphFont"/>
    <w:link w:val="Heading3"/>
    <w:locked/>
    <w:rsid w:val="00CB1536"/>
    <w:rPr>
      <w:lang w:val="fi-FI" w:eastAsia="en-US" w:bidi="ar-SA"/>
    </w:rPr>
  </w:style>
  <w:style w:type="character" w:customStyle="1" w:styleId="Heading4Char">
    <w:name w:val="Heading 4 Char"/>
    <w:basedOn w:val="DefaultParagraphFont"/>
    <w:link w:val="Heading4"/>
    <w:locked/>
    <w:rsid w:val="00CB1536"/>
    <w:rPr>
      <w:lang w:val="fi-FI" w:eastAsia="en-US" w:bidi="ar-SA"/>
    </w:rPr>
  </w:style>
  <w:style w:type="character" w:customStyle="1" w:styleId="Heading5Char">
    <w:name w:val="Heading 5 Char"/>
    <w:basedOn w:val="DefaultParagraphFont"/>
    <w:link w:val="Heading5"/>
    <w:locked/>
    <w:rsid w:val="00CB1536"/>
    <w:rPr>
      <w:lang w:val="fi-FI" w:eastAsia="en-US" w:bidi="ar-SA"/>
    </w:rPr>
  </w:style>
  <w:style w:type="character" w:customStyle="1" w:styleId="Heading6Char">
    <w:name w:val="Heading 6 Char"/>
    <w:basedOn w:val="DefaultParagraphFont"/>
    <w:link w:val="Heading6"/>
    <w:locked/>
    <w:rsid w:val="00CB1536"/>
    <w:rPr>
      <w:lang w:val="fi-FI" w:eastAsia="en-US" w:bidi="ar-SA"/>
    </w:rPr>
  </w:style>
  <w:style w:type="character" w:customStyle="1" w:styleId="Heading7Char">
    <w:name w:val="Heading 7 Char"/>
    <w:basedOn w:val="DefaultParagraphFont"/>
    <w:link w:val="Heading7"/>
    <w:locked/>
    <w:rsid w:val="00CB1536"/>
    <w:rPr>
      <w:lang w:val="fi-FI" w:eastAsia="en-US" w:bidi="ar-SA"/>
    </w:rPr>
  </w:style>
  <w:style w:type="character" w:customStyle="1" w:styleId="Heading8Char">
    <w:name w:val="Heading 8 Char"/>
    <w:basedOn w:val="DefaultParagraphFont"/>
    <w:link w:val="Heading8"/>
    <w:locked/>
    <w:rsid w:val="00CB1536"/>
    <w:rPr>
      <w:lang w:val="fi-FI" w:eastAsia="en-US" w:bidi="ar-SA"/>
    </w:rPr>
  </w:style>
  <w:style w:type="character" w:customStyle="1" w:styleId="Heading9Char">
    <w:name w:val="Heading 9 Char"/>
    <w:basedOn w:val="DefaultParagraphFont"/>
    <w:link w:val="Heading9"/>
    <w:locked/>
    <w:rsid w:val="00CB1536"/>
    <w:rPr>
      <w:lang w:val="fi-FI"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fi-FI"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fi-FI"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FI/TXT/?uri=CELEX:52016AE6895&amp;qid=1613735054011" TargetMode="External"/><Relationship Id="rId3" Type="http://schemas.openxmlformats.org/officeDocument/2006/relationships/hyperlink" Target="https://eur-lex.europa.eu/LexUriServ/LexUriServ.do?uri=OJ:C:2020:047:SOM:FI:HTML" TargetMode="External"/><Relationship Id="rId7" Type="http://schemas.openxmlformats.org/officeDocument/2006/relationships/hyperlink" Target="http://eur-lex.europa.eu/legal-content/FI/TXT/?uri=OJ:C:2020:429:TOC" TargetMode="External"/><Relationship Id="rId12" Type="http://schemas.openxmlformats.org/officeDocument/2006/relationships/hyperlink" Target="https://eur-lex.europa.eu/legal-content/FI/TXT/?uri=CELEX:52020AE3018&amp;qid=1615550202956" TargetMode="External"/><Relationship Id="rId2" Type="http://schemas.openxmlformats.org/officeDocument/2006/relationships/hyperlink" Target="https://eur-lex.europa.eu/legal-content/FI/TXT/HTML/?uri=CELEX:52020DC0950&amp;qid=1607524251598&amp;from=FI" TargetMode="External"/><Relationship Id="rId1" Type="http://schemas.openxmlformats.org/officeDocument/2006/relationships/hyperlink" Target="https://eur-lex.europa.eu/legal-content/FI/TXT/HTML/?uri=CELEX:52015DC0080&amp;from=FI" TargetMode="External"/><Relationship Id="rId6" Type="http://schemas.openxmlformats.org/officeDocument/2006/relationships/hyperlink" Target="file://https:/eur-lex.europa.eu/legal-content/FI/TXT/?uri=CELEX:52015DC0080" TargetMode="External"/><Relationship Id="rId11" Type="http://schemas.openxmlformats.org/officeDocument/2006/relationships/hyperlink" Target="https://eur-lex.europa.eu/legal-content/FI/TXT/?qid=1613734912385&amp;uri=CELEX:52015AE5033" TargetMode="External"/><Relationship Id="rId5" Type="http://schemas.openxmlformats.org/officeDocument/2006/relationships/hyperlink" Target="http://eur-lex.europa.eu/legal-content/FI/TXT/?uri=OJ:C:2020:429:TOC" TargetMode="External"/><Relationship Id="rId10" Type="http://schemas.openxmlformats.org/officeDocument/2006/relationships/hyperlink" Target="https://eur-lex.europa.eu/legal-content/FI/TXT/?uri=uriserv:OJ.C_.2021.123.01.0022.01.FIN&amp;toc=OJ:C:2021:123:TOC" TargetMode="External"/><Relationship Id="rId4" Type="http://schemas.openxmlformats.org/officeDocument/2006/relationships/hyperlink" Target="http://eur-lex.europa.eu/legal-content/FI/TXT/?uri=OJ:C:2019:062:TOC" TargetMode="External"/><Relationship Id="rId9" Type="http://schemas.openxmlformats.org/officeDocument/2006/relationships/hyperlink" Target="https://eur-lex.europa.eu/legal-content/FI/TXT/?uri=uriserv:OJ.C_.2021.123.01.0030.01.FIN&amp;toc=OJ:C:2021:123:TOC" TargetMode="External"/><Relationship Id="rId14" Type="http://schemas.openxmlformats.org/officeDocument/2006/relationships/hyperlink" Target="https://eur-lex.europa.eu/legal-content/FI/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VV634QRNENMJ-592872750-7595</_dlc_DocId>
    <_dlc_DocIdUrl xmlns="cda99570-6012-4083-bfeb-7d32ad1ce1a3">
      <Url>http://dm2016/eesc/2020/_layouts/15/DocIdRedir.aspx?ID=VV634QRNENMJ-592872750-7595</Url>
      <Description>VV634QRNENMJ-592872750-7595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2021-04-22T12:00:00+00:00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DF55B329-DE34-49F0-8622-8D5D5A68948B}"/>
</file>

<file path=customXml/itemProps2.xml><?xml version="1.0" encoding="utf-8"?>
<ds:datastoreItem xmlns:ds="http://schemas.openxmlformats.org/officeDocument/2006/customXml" ds:itemID="{0043B3BE-8C29-4CC5-806F-E81FDD86563C}"/>
</file>

<file path=customXml/itemProps3.xml><?xml version="1.0" encoding="utf-8"?>
<ds:datastoreItem xmlns:ds="http://schemas.openxmlformats.org/officeDocument/2006/customXml" ds:itemID="{CDE7FFAE-AA05-4E2F-95B5-A7E6ACFD03D6}"/>
</file>

<file path=customXml/itemProps4.xml><?xml version="1.0" encoding="utf-8"?>
<ds:datastoreItem xmlns:ds="http://schemas.openxmlformats.org/officeDocument/2006/customXml" ds:itemID="{0E49FBD2-10C6-49B4-A8A3-102FEA01F059}"/>
</file>

<file path=docProps/app.xml><?xml version="1.0" encoding="utf-8"?>
<Properties xmlns="http://schemas.openxmlformats.org/officeDocument/2006/extended-properties" xmlns:vt="http://schemas.openxmlformats.org/officeDocument/2006/docPropsVTypes">
  <Template>Styles.dotm</Template>
  <TotalTime>3</TotalTime>
  <Pages>14</Pages>
  <Words>5259</Words>
  <Characters>29980</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Energiaunionin tilaa koskeva katsaus 2020 ja kansallisten energia- ja ilmastosuunnitelmien arviointi</dc:title>
  <dc:subject>AC</dc:subject>
  <dc:creator>Emma Nieddu</dc:creator>
  <cp:keywords>EESC-2020-04915-00-01-AC-TRA-EN</cp:keywords>
  <dc:description>Rapporteur: RIBBE - Original language: EN - Date of document: 22/04/2021 - Date of meeting:  - External documents: COM(2020)950-final - Administrator:  RIZZI Alessandro</dc:description>
  <cp:lastModifiedBy>Venalainen Eeva</cp:lastModifiedBy>
  <cp:revision>8</cp:revision>
  <cp:lastPrinted>2016-07-15T09:51:00Z</cp:lastPrinted>
  <dcterms:created xsi:type="dcterms:W3CDTF">2021-04-20T14:46:00Z</dcterms:created>
  <dcterms:modified xsi:type="dcterms:W3CDTF">2021-04-22T07:48:00Z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20/04/2021, 31/03/2021, 12/03/2021, 24/02/2021, 19/02/2021, 20/01/2021, 10/12/2020, 28/09/2020, 14/09/2020, 04/11/2015, 27/10/2015, 19/10/2015, 09/10/2015, 05/10/2015, 05/10/2015, 26/08/2015, 26/08/2015, 25/08/2015</vt:lpwstr>
  </property>
  <property fmtid="{D5CDD505-2E9C-101B-9397-08002B2CF9AE}" pid="4" name="Pref_Time">
    <vt:lpwstr>16:46:17, 08:42:16, 16:22:40, 11:32:31, 16:55:47, 16:52:36, 08:54:49, 14:47:33, 13:56:52, 12:10:07, 14:44:02, 16:04:16, 14:09:30, 16:24:55, 16:04:02, 08:56:14, 07:27:56, 17:31:53</vt:lpwstr>
  </property>
  <property fmtid="{D5CDD505-2E9C-101B-9397-08002B2CF9AE}" pid="5" name="Pref_User">
    <vt:lpwstr>hnic, hnic, amett, enied, hnic, hnic, enied, hnic, mkop, ssex, enied, amett, tvoc, mreg, mreg, amett, enied, ssex</vt:lpwstr>
  </property>
  <property fmtid="{D5CDD505-2E9C-101B-9397-08002B2CF9AE}" pid="6" name="Pref_FileName">
    <vt:lpwstr>EESC-2020-04915-00-01-AC-ORI.docx, EESC-2020-04915-00-00-AC-ORI.docx, EESC-2020-04915-00-00-AS-TRA-EN-CRR.docx, EESC-2020-04915-00-01-PA-ORI.docx, EESC-2020-04915-00-00-PA-TRA-DE-CRR.docx, EESC-2020-04915-00-00-APA-TRA-DE-CRR.docx, EESC-2020-04915-00-00-D</vt:lpwstr>
  </property>
  <property fmtid="{D5CDD505-2E9C-101B-9397-08002B2CF9AE}" pid="7" name="ContentTypeId">
    <vt:lpwstr>0x010100EA97B91038054C99906057A708A1480A00B2B329A7DAC4C144A75447C3256C027E</vt:lpwstr>
  </property>
  <property fmtid="{D5CDD505-2E9C-101B-9397-08002B2CF9AE}" pid="8" name="_dlc_DocIdItemGuid">
    <vt:lpwstr>3a72a20e-e0ce-4aa5-b3b7-e99590d84675</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CS|72f9705b-0217-4fd3-bea2-cbc7ed80e26e;NL|55c6556c-b4f4-441d-9acf-c498d4f838bd;EN|f2175f21-25d7-44a3-96da-d6a61b075e1b;IT|0774613c-01ed-4e5d-a25d-11d2388de825;LV|46f7e311-5d9f-4663-b433-18aeccb7ace7;ET|ff6c3f4c-b02c-4c3c-ab07-2c37995a7a0a;DA|5d49c027-8956-412b-aa16-e85a0f96ad0e;SK|46d9fce0-ef79-4f71-b89b-cd6aa82426b8;EL|6d4f4d51-af9b-4650-94b4-4276bee85c91;DE|f6b31e5a-26fa-4935-b661-318e46daf27e;PT|50ccc04a-eadd-42ae-a0cb-acaf45f812ba;LT|a7ff5ce7-6123-4f68-865a-a57c31810414;ES|e7a6b05b-ae16-40c8-add9-68b64b03ae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70;#AC|a4cc1d15-fb08-4679-ad46-e4e0cba5fe92;#32;#DA|5d49c027-8956-412b-aa16-e85a0f96ad0e;#31;#CS|72f9705b-0217-4fd3-bea2-cbc7ed80e26e;#30;#LT|a7ff5ce7-6123-4f68-865a-a57c31810414;#29;#PT|50ccc04a-eadd-42ae-a0cb-acaf45f812ba;#28;#TEN|5e12260d-3aca-41f8-baf2-ad3d18475f10;#24;#LV|46f7e311-5d9f-4663-b433-18aeccb7ace7;#38;#EL|6d4f4d51-af9b-4650-94b4-4276bee85c91;#10;#DE|f6b31e5a-26fa-4935-b661-318e46daf27e;#13;#IT|0774613c-01ed-4e5d-a25d-11d2388de825;#16;#ES|e7a6b05b-ae16-40c8-add9-68b64b03aeba;#47;#ET|ff6c3f4c-b02c-4c3c-ab07-2c37995a7a0a;#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45;#FI|87606a43-d45f-42d6-b8c9-e1a3457db5b7</vt:lpwstr>
  </property>
</Properties>
</file>