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DC308B" w:rsidR="00646AC2" w:rsidP="00D32B59" w:rsidRDefault="00E30F51" w14:paraId="5B3BE56A" w14:textId="31BF63A0">
      <w:pPr>
        <w:jc w:val="center"/>
      </w:pPr>
      <w:r>
        <w:rPr>
          <w:noProof/>
          <w:lang w:val="en-US"/>
        </w:rPr>
        <w:drawing>
          <wp:inline distT="0" distB="0" distL="0" distR="0" wp14:anchorId="61DD6663" wp14:editId="18AE3FD9">
            <wp:extent cx="1792605" cy="1241425"/>
            <wp:effectExtent l="0" t="0" r="0" b="0"/>
            <wp:docPr id="1" name="Picture 1" title="EESCLogo_M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2605" cy="124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72288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 wp14:editId="165DCE90" wp14:anchorId="74AB9871">
                <wp:simplePos x="0" y="0"/>
                <wp:positionH relativeFrom="page">
                  <wp:posOffset>6769100</wp:posOffset>
                </wp:positionH>
                <wp:positionV relativeFrom="page">
                  <wp:posOffset>10081260</wp:posOffset>
                </wp:positionV>
                <wp:extent cx="647700" cy="396240"/>
                <wp:effectExtent l="0" t="3810" r="3175" b="0"/>
                <wp:wrapNone/>
                <wp:docPr id="2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Pr="00260E65" w:rsidR="00024C5A" w:rsidRDefault="00024C5A" w14:paraId="713271A4" w14:textId="7777777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48"/>
                              </w:rPr>
                              <w:t>MT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74AB9871">
                <v:stroke joinstyle="miter"/>
                <v:path gradientshapeok="t" o:connecttype="rect"/>
              </v:shapetype>
              <v:shape id="Text Box 14" style="position:absolute;left:0;text-align:left;margin-left:533pt;margin-top:793.8pt;width:51pt;height:31.2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">
                <v:textbox>
                  <w:txbxContent>
                    <w:p w:rsidRPr="00260E65" w:rsidR="00024C5A" w:rsidRDefault="00024C5A" w14:paraId="713271A4" w14:textId="77777777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sz w:val="48"/>
                        </w:rPr>
                        <w:t>MT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Pr="00DC308B" w:rsidR="00D32B59" w:rsidP="00BC3F01" w:rsidRDefault="00D32B59" w14:paraId="57EA3151" w14:textId="77777777"/>
    <w:p w:rsidRPr="00DC308B" w:rsidR="00646AC2" w:rsidP="00BC3F01" w:rsidRDefault="007F3990" w14:paraId="5B3BE56B" w14:textId="25317837">
      <w:pPr>
        <w:jc w:val="right"/>
      </w:pPr>
      <w:r>
        <w:rPr>
          <w:b/>
        </w:rPr>
        <w:t>TEN/724</w:t>
      </w:r>
    </w:p>
    <w:p w:rsidRPr="00DC308B" w:rsidR="00563C84" w:rsidP="00BC3F01" w:rsidRDefault="00FE7A9F" w14:paraId="5B3BE56C" w14:textId="3FD6F03D">
      <w:pPr>
        <w:jc w:val="right"/>
      </w:pPr>
      <w:r>
        <w:rPr>
          <w:b/>
        </w:rPr>
        <w:t>Rapport tal-2020 dwar l-Istat tal-Unjoni tal-Enerġija u Valutazzjoni tal-Pjani Nazzjonali għall-Enerġija u l-Klima</w:t>
      </w:r>
    </w:p>
    <w:p w:rsidRPr="00DC308B" w:rsidR="009B30AA" w:rsidP="00BC3F01" w:rsidRDefault="009B30AA" w14:paraId="5B3BE56D" w14:textId="77777777"/>
    <w:p w:rsidRPr="00DC308B" w:rsidR="009B30AA" w:rsidP="00BC3F01" w:rsidRDefault="009B30AA" w14:paraId="5B3BE56E" w14:textId="77777777">
      <w:bookmarkStart w:name="_GoBack" w:id="0"/>
      <w:bookmarkEnd w:id="0"/>
    </w:p>
    <w:p w:rsidR="00B61C9D" w:rsidP="00FE7A9F" w:rsidRDefault="00550F59" w14:paraId="214CD0F5" w14:textId="30F8BC55">
      <w:pPr>
        <w:jc w:val="center"/>
      </w:pPr>
      <w:r w:rsidRPr="00567EFB">
        <w:rPr>
          <w:b/>
          <w:sz w:val="28"/>
          <w:szCs w:val="28"/>
        </w:rPr>
        <w:t>OPINJONI</w:t>
      </w:r>
      <w:r>
        <w:br/>
      </w:r>
      <w:r>
        <w:br/>
        <w:t>Kumitat Ekonomiku u Soċjali Ewropew</w:t>
      </w:r>
      <w:r>
        <w:br/>
      </w:r>
      <w:r>
        <w:br/>
      </w:r>
      <w:r>
        <w:rPr>
          <w:b/>
        </w:rPr>
        <w:t>Rapport tal-Kummissjoni lill-Parlament Ewropew, lill-Kunsill, lill-Kumitat Ekonomiku u Soċjali Ewropew u lill-Kumitat tar-Reġjuni – Rapport tal-2020 dwar l-Istat tal-Unjoni tal-Enerġija skont ir-Regolament (UE) 2018/1999 dwar il-Governanza tal-Unjoni tal-Enerġija u tal-Azzjoni Klimatika</w:t>
      </w:r>
    </w:p>
    <w:p w:rsidR="00987A80" w:rsidP="00FE7A9F" w:rsidRDefault="00FE7A9F" w14:paraId="7F5985E8" w14:textId="61FE7B26">
      <w:pPr>
        <w:jc w:val="center"/>
      </w:pPr>
      <w:r>
        <w:t>u</w:t>
      </w:r>
      <w:r>
        <w:br/>
      </w:r>
      <w:r>
        <w:rPr>
          <w:b/>
        </w:rPr>
        <w:t>Komunikazzjoni tal-Kummissjoni lill-Parlament Ewropew, lill-Kunsill, lill-Kumitat Ekonomiku u Soċjali Ewropew u lill-Kumitat tar-Reġjuni – Valutazzjoni madwar l-UE kollha tal-Pjani Nazzjonali għall-Enerġija u l-Klima Immexxu ’l quddiem it-tranżizzjoni ekoloġika u nippromwovu l-irkpru ekonomiku permezz ta’ ppjanar integrat tal-enerġija u tal-klima</w:t>
      </w:r>
      <w:r>
        <w:br/>
        <w:t>[COM(2020) 950 final]</w:t>
      </w:r>
    </w:p>
    <w:p w:rsidRPr="00DC308B" w:rsidR="00646AC2" w:rsidP="00FE7A9F" w:rsidRDefault="00987A80" w14:paraId="5B3BE56F" w14:textId="27F86578">
      <w:pPr>
        <w:jc w:val="center"/>
      </w:pPr>
      <w:r>
        <w:t>[COM(2020) 564 final]</w:t>
      </w:r>
    </w:p>
    <w:p w:rsidRPr="00DC308B" w:rsidR="009B30AA" w:rsidP="00BC3F01" w:rsidRDefault="009B30AA" w14:paraId="5B3BE570" w14:textId="77777777">
      <w:pPr>
        <w:jc w:val="center"/>
      </w:pPr>
    </w:p>
    <w:p w:rsidRPr="00DC308B" w:rsidR="00704FBB" w:rsidP="00BC3F01" w:rsidRDefault="007F5E0D" w14:paraId="5B3BE581" w14:textId="7D266FC0">
      <w:pPr>
        <w:jc w:val="center"/>
        <w:rPr>
          <w:b/>
        </w:rPr>
      </w:pPr>
      <w:r>
        <w:t xml:space="preserve">Relatur: </w:t>
      </w:r>
      <w:r>
        <w:rPr>
          <w:b/>
        </w:rPr>
        <w:t>Lutz RIBBE</w:t>
      </w:r>
    </w:p>
    <w:p w:rsidRPr="00DC308B" w:rsidR="00E32DC6" w:rsidP="00BC3F01" w:rsidRDefault="00E32DC6" w14:paraId="5B3BE582" w14:textId="77777777"/>
    <w:p w:rsidRPr="00DC308B" w:rsidR="00E32DC6" w:rsidP="00BC3F01" w:rsidRDefault="00E32DC6" w14:paraId="5B3BE583" w14:textId="77777777"/>
    <w:p w:rsidRPr="00DC308B" w:rsidR="00E32DC6" w:rsidP="00BC3F01" w:rsidRDefault="00E32DC6" w14:paraId="5B3BE584" w14:textId="77777777">
      <w:pPr>
        <w:sectPr w:rsidRPr="00DC308B" w:rsidR="00E32DC6" w:rsidSect="002561CA">
          <w:footerReference w:type="default" r:id="rId12"/>
          <w:pgSz w:w="11907" w:h="16839" w:code="9"/>
          <w:pgMar w:top="1417" w:right="1417" w:bottom="1417" w:left="1417" w:header="709" w:footer="709" w:gutter="0"/>
          <w:pgNumType w:start="1"/>
          <w:cols w:space="720"/>
          <w:docGrid w:linePitch="299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11"/>
        <w:gridCol w:w="4962"/>
      </w:tblGrid>
      <w:tr w:rsidRPr="00DC308B" w:rsidR="0011656A" w:rsidTr="006A16D7" w14:paraId="5B3BE5A6" w14:textId="77777777">
        <w:tc>
          <w:tcPr>
            <w:tcW w:w="4111" w:type="dxa"/>
          </w:tcPr>
          <w:p w:rsidRPr="00DC308B" w:rsidR="0011656A" w:rsidP="00BC3F01" w:rsidRDefault="0090053A" w14:paraId="5B3BE5A4" w14:textId="36EC7404">
            <w:pPr>
              <w:jc w:val="left"/>
            </w:pPr>
            <w:r>
              <w:lastRenderedPageBreak/>
              <w:t xml:space="preserve">Konsultazzjonijiet </w:t>
            </w:r>
          </w:p>
        </w:tc>
        <w:tc>
          <w:tcPr>
            <w:tcW w:w="4962" w:type="dxa"/>
          </w:tcPr>
          <w:p w:rsidRPr="00DC308B" w:rsidR="0011656A" w:rsidRDefault="00E271C6" w14:paraId="5B3BE5A5" w14:textId="57DECFAF">
            <w:pPr>
              <w:jc w:val="left"/>
            </w:pPr>
            <w:r>
              <w:t>Kummissjoni Ewropea, 11/11/2020 u 27/11/2020</w:t>
            </w:r>
          </w:p>
        </w:tc>
      </w:tr>
      <w:tr w:rsidRPr="00DC308B" w:rsidR="0016503F" w:rsidTr="006A16D7" w14:paraId="5B3BE5A9" w14:textId="77777777">
        <w:trPr>
          <w:trHeight w:val="251"/>
        </w:trPr>
        <w:tc>
          <w:tcPr>
            <w:tcW w:w="4111" w:type="dxa"/>
          </w:tcPr>
          <w:p w:rsidRPr="00DC308B" w:rsidR="0016503F" w:rsidP="00BC3F01" w:rsidRDefault="0016503F" w14:paraId="5B3BE5A7" w14:textId="77777777">
            <w:pPr>
              <w:jc w:val="left"/>
            </w:pPr>
            <w:r>
              <w:t>Bażi legali</w:t>
            </w:r>
          </w:p>
        </w:tc>
        <w:tc>
          <w:tcPr>
            <w:tcW w:w="4962" w:type="dxa"/>
          </w:tcPr>
          <w:p w:rsidRPr="00DC308B" w:rsidR="0016503F" w:rsidP="00DC308B" w:rsidRDefault="0016503F" w14:paraId="5B3BE5A8" w14:textId="3C895295">
            <w:r>
              <w:t>L-Artikolu 304 tat-Trattat dwar il-Funzjonament tal-Unjoni Ewropea</w:t>
            </w:r>
          </w:p>
        </w:tc>
      </w:tr>
      <w:tr w:rsidRPr="00DC308B" w:rsidR="00243E36" w:rsidTr="006A16D7" w14:paraId="5B3BE5AF" w14:textId="77777777">
        <w:tc>
          <w:tcPr>
            <w:tcW w:w="4111" w:type="dxa"/>
          </w:tcPr>
          <w:p w:rsidRPr="00DC308B" w:rsidR="00243E36" w:rsidP="00BC3F01" w:rsidRDefault="00243E36" w14:paraId="5B3BE5AD" w14:textId="04655BF1">
            <w:pPr>
              <w:jc w:val="left"/>
            </w:pPr>
          </w:p>
        </w:tc>
        <w:tc>
          <w:tcPr>
            <w:tcW w:w="4962" w:type="dxa"/>
          </w:tcPr>
          <w:p w:rsidRPr="00DC308B" w:rsidR="00243E36" w:rsidP="00734BAF" w:rsidRDefault="00243E36" w14:paraId="5B3BE5AE" w14:textId="4C160908">
            <w:pPr>
              <w:jc w:val="left"/>
            </w:pPr>
          </w:p>
        </w:tc>
      </w:tr>
      <w:tr w:rsidRPr="00DC308B" w:rsidR="00DF5B64" w:rsidTr="006A16D7" w14:paraId="5B3BE5C4" w14:textId="77777777">
        <w:tc>
          <w:tcPr>
            <w:tcW w:w="4111" w:type="dxa"/>
          </w:tcPr>
          <w:p w:rsidRPr="00DC308B" w:rsidR="00DF5B64" w:rsidP="00BC3F01" w:rsidRDefault="00AD4B4F" w14:paraId="5B3BE5C2" w14:textId="77777777">
            <w:pPr>
              <w:jc w:val="left"/>
            </w:pPr>
            <w:r>
              <w:t>Sezzjoni kompetenti</w:t>
            </w:r>
          </w:p>
        </w:tc>
        <w:tc>
          <w:tcPr>
            <w:tcW w:w="4962" w:type="dxa"/>
          </w:tcPr>
          <w:p w:rsidRPr="00DC308B" w:rsidR="00DF5B64" w:rsidP="00DC308B" w:rsidRDefault="004B717F" w14:paraId="5B3BE5C3" w14:textId="6AE91C48">
            <w:r>
              <w:t xml:space="preserve">Sezzjoni għat-Trasport, l-Enerġija, l-Infrastruttura u s-Soċjetà tal-Informazzjoni </w:t>
            </w:r>
          </w:p>
        </w:tc>
      </w:tr>
      <w:tr w:rsidRPr="00DC308B" w:rsidR="00A156E6" w:rsidTr="006A16D7" w14:paraId="5B3BE5C7" w14:textId="77777777">
        <w:tc>
          <w:tcPr>
            <w:tcW w:w="4111" w:type="dxa"/>
          </w:tcPr>
          <w:p w:rsidRPr="00DC308B" w:rsidR="00A156E6" w:rsidP="00BC3F01" w:rsidRDefault="00A156E6" w14:paraId="5B3BE5C5" w14:textId="77777777">
            <w:pPr>
              <w:jc w:val="left"/>
            </w:pPr>
            <w:r>
              <w:t>Adottata fis-sezzjoni</w:t>
            </w:r>
          </w:p>
        </w:tc>
        <w:tc>
          <w:tcPr>
            <w:tcW w:w="4962" w:type="dxa"/>
          </w:tcPr>
          <w:p w:rsidRPr="00DC308B" w:rsidR="00A156E6" w:rsidRDefault="00DC311E" w14:paraId="5B3BE5C6" w14:textId="0DE01FEF">
            <w:pPr>
              <w:jc w:val="left"/>
            </w:pPr>
            <w:r>
              <w:t>09/03/2021</w:t>
            </w:r>
          </w:p>
        </w:tc>
      </w:tr>
      <w:tr w:rsidRPr="00DC308B" w:rsidR="00A156E6" w:rsidTr="006A16D7" w14:paraId="5B3BE5CA" w14:textId="77777777">
        <w:tc>
          <w:tcPr>
            <w:tcW w:w="4111" w:type="dxa"/>
          </w:tcPr>
          <w:p w:rsidRPr="00DC308B" w:rsidR="00A156E6" w:rsidP="00BC3F01" w:rsidRDefault="00A156E6" w14:paraId="5B3BE5C8" w14:textId="77777777">
            <w:pPr>
              <w:jc w:val="left"/>
            </w:pPr>
            <w:r>
              <w:t>Adottata fil-plenarja</w:t>
            </w:r>
          </w:p>
        </w:tc>
        <w:tc>
          <w:tcPr>
            <w:tcW w:w="4962" w:type="dxa"/>
          </w:tcPr>
          <w:p w:rsidRPr="00DC308B" w:rsidR="00A156E6" w:rsidP="00F93170" w:rsidRDefault="00DC311E" w14:paraId="5B3BE5C9" w14:textId="1D021756">
            <w:pPr>
              <w:jc w:val="left"/>
            </w:pPr>
            <w:r>
              <w:t>24/03/2021</w:t>
            </w:r>
          </w:p>
        </w:tc>
      </w:tr>
      <w:tr w:rsidRPr="00DC308B" w:rsidR="00BA1290" w:rsidTr="006A16D7" w14:paraId="5B3BE5CD" w14:textId="77777777">
        <w:tc>
          <w:tcPr>
            <w:tcW w:w="4111" w:type="dxa"/>
          </w:tcPr>
          <w:p w:rsidRPr="00DC308B" w:rsidR="00BA1290" w:rsidP="00BC3F01" w:rsidRDefault="00BA1290" w14:paraId="5B3BE5CB" w14:textId="77777777">
            <w:pPr>
              <w:jc w:val="left"/>
            </w:pPr>
            <w:r>
              <w:t>Sessjoni plenarja Nru</w:t>
            </w:r>
          </w:p>
        </w:tc>
        <w:tc>
          <w:tcPr>
            <w:tcW w:w="4962" w:type="dxa"/>
          </w:tcPr>
          <w:p w:rsidRPr="00DC308B" w:rsidR="00BA1290" w:rsidP="00BC3F01" w:rsidRDefault="00313E47" w14:paraId="5B3BE5CC" w14:textId="7445F04B">
            <w:pPr>
              <w:jc w:val="left"/>
            </w:pPr>
            <w:r>
              <w:t>559</w:t>
            </w:r>
          </w:p>
        </w:tc>
      </w:tr>
      <w:tr w:rsidRPr="00DC308B" w:rsidR="00A156E6" w:rsidTr="006A16D7" w14:paraId="5B3BE5D0" w14:textId="77777777">
        <w:tc>
          <w:tcPr>
            <w:tcW w:w="4111" w:type="dxa"/>
          </w:tcPr>
          <w:p w:rsidRPr="00DC308B" w:rsidR="00D423D4" w:rsidP="00BC3F01" w:rsidRDefault="0043024C" w14:paraId="5B3BE5CE" w14:textId="0ED6183D">
            <w:pPr>
              <w:jc w:val="left"/>
            </w:pPr>
            <w:r>
              <w:t>Riżultat tal-votazzjoni</w:t>
            </w:r>
            <w:r>
              <w:br/>
              <w:t>(favur/kontra/astensjonijiet)</w:t>
            </w:r>
          </w:p>
        </w:tc>
        <w:tc>
          <w:tcPr>
            <w:tcW w:w="4962" w:type="dxa"/>
            <w:vAlign w:val="bottom"/>
          </w:tcPr>
          <w:p w:rsidRPr="00DC308B" w:rsidR="00A156E6" w:rsidP="002524D5" w:rsidRDefault="00F93170" w14:paraId="5B3BE5CF" w14:textId="4AD1C055">
            <w:pPr>
              <w:jc w:val="left"/>
            </w:pPr>
            <w:r>
              <w:t>236/4/6</w:t>
            </w:r>
          </w:p>
        </w:tc>
      </w:tr>
    </w:tbl>
    <w:p w:rsidRPr="00DC308B" w:rsidR="0090053A" w:rsidP="00BC3F01" w:rsidRDefault="0090053A" w14:paraId="5B3BE5D1" w14:textId="77777777"/>
    <w:p w:rsidRPr="00DC308B" w:rsidR="00646AC2" w:rsidP="00BC3F01" w:rsidRDefault="00646AC2" w14:paraId="5B3BE5D2" w14:textId="77777777">
      <w:r>
        <w:br w:type="page"/>
      </w:r>
    </w:p>
    <w:p w:rsidRPr="00DC308B" w:rsidR="00011D33" w:rsidP="00BC3F01" w:rsidRDefault="00011D33" w14:paraId="5B3BE5D3" w14:textId="77777777">
      <w:pPr>
        <w:pStyle w:val="Heading1"/>
        <w:keepNext/>
        <w:rPr>
          <w:b/>
        </w:rPr>
      </w:pPr>
      <w:r>
        <w:rPr>
          <w:b/>
        </w:rPr>
        <w:lastRenderedPageBreak/>
        <w:t>Konklużjonijiet u rakkomandazzjonijiet</w:t>
      </w:r>
    </w:p>
    <w:p w:rsidRPr="00DC308B" w:rsidR="00011D33" w:rsidP="00BC3F01" w:rsidRDefault="00011D33" w14:paraId="5B3BE5D4" w14:textId="77777777">
      <w:pPr>
        <w:keepNext/>
      </w:pPr>
    </w:p>
    <w:p w:rsidRPr="00DC308B" w:rsidR="00896899" w:rsidP="00896899" w:rsidRDefault="00896899" w14:paraId="048AE4BC" w14:textId="3B819771">
      <w:pPr>
        <w:pStyle w:val="Heading2"/>
      </w:pPr>
      <w:r>
        <w:t xml:space="preserve">Il-Kumitat Ekonomiku u Soċjali Ewropew (KESE) huwa impressjonat bil-metikolużità u l-eżattezza li bihom il-Kummissjoni tiddokumenta u tevalwa l-iżvilupp tal-Unjoni tal-Enerġija. Il-mod li bih tfasslu u ġew evalwati l-Pjani Nazzjonali għall-Enerġija u l-Klima (NECP) juri li l-governanza tal-Unjoni tal-Enerġija tiffunzjona. </w:t>
      </w:r>
    </w:p>
    <w:p w:rsidRPr="00DC308B" w:rsidR="00896899" w:rsidP="00896899" w:rsidRDefault="00896899" w14:paraId="5F75B2B9" w14:textId="77777777"/>
    <w:p w:rsidRPr="00DC308B" w:rsidR="00896899" w:rsidP="00896899" w:rsidRDefault="00896899" w14:paraId="4156466A" w14:textId="0B8171EA">
      <w:pPr>
        <w:pStyle w:val="Heading2"/>
      </w:pPr>
      <w:r>
        <w:t>Il-KESE jinnota b’sodisfazzjon li, għalkemm xi Stati Membri qegħdin lura b’mod ċar biex jilħqu l-miri, b’mod ġenerali l-miri tal-enerġija u l-klima għas-sena 2020 intlaħqu. Iżda dan ma għandux iwassal għal kompjaċenza. Il-miri għat-30 sena li ġejjin, li jibdew mid-deċennju tal-2020, huma ħafna aktar ambizzjużi. Il-pass tat-trasformazzjoni jrid jiżdied b’mod sinifikanti; madankollu, is-sitwazzjoni soċjali u ekonomika fl-Istati Membri individwali m’għandhiex tiġi injorata. Jekk ma jsirx hekk, l-aċċettazzjoni soċjali tal-investimenti u r-riformi mmirati biex jaċċelleraw it-tranżizzjoni tal-enerġija tkun f’riskju. It-trasformazzjoni tal-enerġija tkun ukoll f’riskju jekk il-politika twiegħed il-parteċipazzjoni ta’ parti wiesgħa tas-soċjetà, iżda fir-realtà ma tiħux din il-wegħda bis-serjetà u ma timplimentahiex!</w:t>
      </w:r>
    </w:p>
    <w:p w:rsidRPr="00DC308B" w:rsidR="00896899" w:rsidP="00896899" w:rsidRDefault="00896899" w14:paraId="25D816DE" w14:textId="77777777"/>
    <w:p w:rsidRPr="00DC308B" w:rsidR="00896899" w:rsidP="00896899" w:rsidRDefault="00896899" w14:paraId="6DF20BA0" w14:textId="7CBCBB67">
      <w:pPr>
        <w:pStyle w:val="Heading2"/>
      </w:pPr>
      <w:r>
        <w:t>Għalhekk, huwa ferm aktar importanti li ma jitqisux biss il-miri globali (dwar il-klima), iżda wkoll il-miri speċifiċi li l-Kummissjoni stabbiliet għaliha nnifisha bil-Qafas Strateġiku għal Unjoni tal-Enerġija Reżiljenti u l-pakkett “Enerġija Nadifa għall-Ewropej Kollha”. U f’dan ir-rigward, ir-riżultat huwa ferm aktar negattiv.</w:t>
      </w:r>
    </w:p>
    <w:p w:rsidRPr="00DC308B" w:rsidR="00896899" w:rsidP="00896899" w:rsidRDefault="00896899" w14:paraId="79B4F62D" w14:textId="77777777"/>
    <w:p w:rsidRPr="00DC308B" w:rsidR="00896899" w:rsidP="00896899" w:rsidRDefault="00896899" w14:paraId="2E5522B2" w14:textId="2F4C4DAA">
      <w:pPr>
        <w:pStyle w:val="Heading2"/>
      </w:pPr>
      <w:r>
        <w:t>Fil-qafas strateġiku, il-Kummissjoni sostniet li l-aktar għan importanti għandu jkun li ċ-ċittadini jkunu fiċ-ċentru tal-Unjoni tal-Enerġija. Fil-Komunikazzjoni tagħha dwar l-istat tal-Unjoni tal-Enerġija, il-Kummissjoni ma ssemmi xejn dwar kif għandha tintlaħaq din il-mira u liema strateġiji għandhom jiġu segwiti biex tintlaħaq din il-mira fil-futur. Għall-KESE dan huwa kompletament inaċċettabbli.</w:t>
      </w:r>
    </w:p>
    <w:p w:rsidRPr="00DC308B" w:rsidR="00896899" w:rsidP="00896899" w:rsidRDefault="00896899" w14:paraId="1320D45E" w14:textId="77777777"/>
    <w:p w:rsidRPr="00DC308B" w:rsidR="00896899" w:rsidP="00896899" w:rsidRDefault="00896899" w14:paraId="6D7FDB7C" w14:textId="20141ACE">
      <w:pPr>
        <w:pStyle w:val="Heading2"/>
      </w:pPr>
      <w:r>
        <w:t>Fil-valutazzjoni tagħha tal-NECP, il-Kummissjoni hija tal-fehma li fl-NECPs tal-Istati Membri ftit li xejn qed tingħata attenzjoni lill-iżvilupp tal-enerġija komunitarja. Dan huwa inkwetanti. Huwa diżappuntanti li l-unika tweġiba tal-Kummissjoni għal dan hija appell ġenerali ħafna lill-Istati Membri. Jekk il-miri ambizzjużi, bħal dawk ifformulati fil-pakkett “Enerġija Nadifa għall-Ewropej Kollha” u fil-Qafas Strateġiku għall-Unjoni tal-Enerġija, ma jiġux segwiti b’mod serju, dan mhuwiex ta’ detriment biss għall-Unjoni tal-Enerġija. Iżda huwa ta’ detriment ukoll għall-kredibilità tal-politika Ewropea kollha kemm hi.</w:t>
      </w:r>
    </w:p>
    <w:p w:rsidRPr="00DC308B" w:rsidR="00896899" w:rsidP="00896899" w:rsidRDefault="00896899" w14:paraId="5D140CDF" w14:textId="77777777"/>
    <w:p w:rsidRPr="00DC308B" w:rsidR="00896899" w:rsidP="00896899" w:rsidRDefault="00896899" w14:paraId="653EA558" w14:textId="77777777">
      <w:pPr>
        <w:pStyle w:val="Heading2"/>
      </w:pPr>
      <w:r>
        <w:t>Din hija r-raġuni għaliex il-KESE jemmen li l-Kummissjoni teħtieġ teżamina aktar mill-qrib il-livell u l-kwalità tal-implimentazzjoni, il-konformità u l-infurzar tat-Tielet Pakkett dwar l-Enerġija fl-Istati Membri f’rapporti futuri, b’mod partikolari fir-rigward ta’ kif dawn iridu jpoġġu liċ-“ċittadini fiċ-ċentru”. Fil-passat, l-implimentazzjoni tar-regolamenti dwar l-enerġija ttardjat u ħafna drabi ma twettqitx għall-benefiċċju taċ-ċittadini.</w:t>
      </w:r>
    </w:p>
    <w:p w:rsidRPr="00DC308B" w:rsidR="00896899" w:rsidP="00896899" w:rsidRDefault="00896899" w14:paraId="2F5A151C" w14:textId="77777777"/>
    <w:p w:rsidRPr="00DC308B" w:rsidR="00011D33" w:rsidP="00896899" w:rsidRDefault="00896899" w14:paraId="5B3BE5D5" w14:textId="36611608">
      <w:pPr>
        <w:pStyle w:val="Heading2"/>
      </w:pPr>
      <w:r>
        <w:t xml:space="preserve">Huwa rrakkomandat ukoll li t-tliet miri l-oħra tal-Unjoni tal-Enerġija jiġu eżaminati b’mod kritiku: it-tnaqqis tad-dipendenza mill-enerġija billi jitnaqqsu l-importazzjonijiet tal-enerġija, l-eliminazzjoni ta’ sussidji għal sorsi ta’ enerġija li jagħmlu ħsara lill-klima u lill-ambjent u t-teħid ta’ rwol ta’ tmexxija fir-rigward ta’ sorsi ta’ enerġija rinnovabbli, l-effiċjenza enerġetika u </w:t>
      </w:r>
      <w:r>
        <w:lastRenderedPageBreak/>
        <w:t>l-elettromobbiltà. Dawn it-tliet miri ma ntlaħqux, kif jidher mill-Komunikazzjonijiet tal-Kummissjoni. Iżda r-raġunijiet għal dawn ma ġewx diskussi. Bl-istess mod huwa inutli li wieħed ifittex dikjarazzjonijiet dwar liema tagħlimiet jistgħu jinkisbu mill-fallimenti u x’jista’ jinkiseb minn dawn għal kull azzjoni sussegwenti, pereżempju fir-rigward tal-Fond ta’ Rkupru.</w:t>
      </w:r>
    </w:p>
    <w:p w:rsidRPr="00DC308B" w:rsidR="00896899" w:rsidP="0092523D" w:rsidRDefault="00896899" w14:paraId="7184AFC6" w14:textId="1CEB306D"/>
    <w:p w:rsidRPr="00DC308B" w:rsidR="000D6859" w:rsidP="00C146D8" w:rsidRDefault="000D6859" w14:paraId="05AD93C1" w14:textId="45970174">
      <w:pPr>
        <w:pStyle w:val="Heading2"/>
      </w:pPr>
      <w:r>
        <w:t>Il-KESE jemmen li l-NECPs tal-Istati Membri juru nuqqas ta’ koerenza fil-politika Ewropea tal-enerġija. Il-KESE jqis ukoll li l-parti l-kbira tal-NECPs huma impreċiżi wisq, speċjalment fir-rigward tal-kwistjonijiet importanti tas-sigurtà tal-enerġija u t-tranżizzjoni ġusta.</w:t>
      </w:r>
    </w:p>
    <w:p w:rsidRPr="00DC308B" w:rsidR="000D6859" w:rsidP="0092523D" w:rsidRDefault="000D6859" w14:paraId="6478A707" w14:textId="77777777"/>
    <w:p w:rsidRPr="00DC308B" w:rsidR="00896899" w:rsidP="00DC308B" w:rsidRDefault="00896899" w14:paraId="46D924C6" w14:textId="25A0851C">
      <w:pPr>
        <w:pStyle w:val="Heading2"/>
        <w:keepNext/>
      </w:pPr>
      <w:r>
        <w:t>Għalhekk, il-KESE jistieden lill-Kummissjoni biex waqt l-evalwazzjoni tal-NECPs tagħti aktar attenzjoni lill-adegwatezza tal-Istrateġiji ta’ Tranżizzjoni Ġusta u, f’dan il-kuntest, b’mod partikolari biex jintlaħqu l-objettivi li ġejjin:</w:t>
      </w:r>
    </w:p>
    <w:p w:rsidRPr="00DC308B" w:rsidR="00896899" w:rsidP="00DC308B" w:rsidRDefault="00896899" w14:paraId="1364938D" w14:textId="77777777">
      <w:pPr>
        <w:keepNext/>
      </w:pPr>
    </w:p>
    <w:p w:rsidRPr="00DC308B" w:rsidR="00896899" w:rsidP="0092523D" w:rsidRDefault="00896899" w14:paraId="147D56FA" w14:textId="1A1F463C">
      <w:pPr>
        <w:pStyle w:val="Heading2"/>
        <w:numPr>
          <w:ilvl w:val="0"/>
          <w:numId w:val="45"/>
        </w:numPr>
        <w:tabs>
          <w:tab w:val="clear" w:pos="0"/>
        </w:tabs>
        <w:ind w:left="850"/>
      </w:pPr>
      <w:r>
        <w:t>l-iffaċilitar tat-tranżizzjonijiet tal-impjiegi;</w:t>
      </w:r>
    </w:p>
    <w:p w:rsidRPr="00DC308B" w:rsidR="00896899" w:rsidP="0092523D" w:rsidRDefault="00896899" w14:paraId="277E64A0" w14:textId="00BF0C79">
      <w:pPr>
        <w:pStyle w:val="CommentText"/>
        <w:numPr>
          <w:ilvl w:val="0"/>
          <w:numId w:val="45"/>
        </w:numPr>
        <w:tabs>
          <w:tab w:val="clear" w:pos="0"/>
        </w:tabs>
        <w:spacing w:line="288" w:lineRule="auto"/>
        <w:ind w:left="850"/>
      </w:pPr>
      <w:r>
        <w:rPr>
          <w:sz w:val="22"/>
          <w:szCs w:val="22"/>
        </w:rPr>
        <w:t>l-appoġġ lill-ħaddiema li jitilfu l-impjieg tagħhom minħabba d-dekarbonizzazzjoni (xogħol mitluf għandu tal-anqas jiġi ssostitwit b’impjieg ieħor tal-istess valur);</w:t>
      </w:r>
    </w:p>
    <w:p w:rsidRPr="00DC308B" w:rsidR="00896899" w:rsidP="0092523D" w:rsidRDefault="00896899" w14:paraId="36E7239E" w14:textId="3C4E2705">
      <w:pPr>
        <w:pStyle w:val="CommentText"/>
        <w:numPr>
          <w:ilvl w:val="0"/>
          <w:numId w:val="45"/>
        </w:numPr>
        <w:tabs>
          <w:tab w:val="clear" w:pos="0"/>
        </w:tabs>
        <w:spacing w:line="288" w:lineRule="auto"/>
        <w:ind w:left="850"/>
        <w:rPr>
          <w:sz w:val="22"/>
          <w:szCs w:val="22"/>
        </w:rPr>
      </w:pPr>
      <w:r>
        <w:rPr>
          <w:sz w:val="22"/>
          <w:szCs w:val="22"/>
        </w:rPr>
        <w:t>il-ġlieda kontra l-faqar enerġetiku u l-kumpens għall-effetti distributtivi digressivi; u</w:t>
      </w:r>
    </w:p>
    <w:p w:rsidRPr="00DC308B" w:rsidR="00E6375E" w:rsidP="0092523D" w:rsidRDefault="00E6375E" w14:paraId="4776540A" w14:textId="1D3BB2FA">
      <w:pPr>
        <w:pStyle w:val="CommentText"/>
        <w:numPr>
          <w:ilvl w:val="0"/>
          <w:numId w:val="45"/>
        </w:numPr>
        <w:tabs>
          <w:tab w:val="clear" w:pos="0"/>
        </w:tabs>
        <w:spacing w:line="288" w:lineRule="auto"/>
        <w:ind w:left="850"/>
        <w:rPr>
          <w:sz w:val="22"/>
          <w:szCs w:val="22"/>
        </w:rPr>
      </w:pPr>
      <w:r>
        <w:rPr>
          <w:sz w:val="22"/>
          <w:szCs w:val="22"/>
        </w:rPr>
        <w:t>l-iżvilupp tal-potenzjal ekonomiku reġjonali li jirriżulta minn sorsi ta’ enerġija rinnovabbli u forom ġodda ta’ involviment u parteċipazzjoni fil-produzzjoni tal-elettriku.</w:t>
      </w:r>
    </w:p>
    <w:p w:rsidRPr="00DC308B" w:rsidR="00011D33" w:rsidP="00F20CA6" w:rsidRDefault="00011D33" w14:paraId="5B3BE5DA" w14:textId="164DDCB1"/>
    <w:p w:rsidRPr="00DC308B" w:rsidR="00011D33" w:rsidP="00BC3F01" w:rsidRDefault="00011D33" w14:paraId="5B3BE5DB" w14:textId="74F84A54">
      <w:pPr>
        <w:pStyle w:val="Heading1"/>
        <w:keepNext/>
        <w:rPr>
          <w:b/>
        </w:rPr>
      </w:pPr>
      <w:r>
        <w:rPr>
          <w:b/>
        </w:rPr>
        <w:t>Kummenti ġenerali dwar id-dokument tal-Kummissjoni</w:t>
      </w:r>
    </w:p>
    <w:p w:rsidRPr="00DC308B" w:rsidR="00011D33" w:rsidP="00BC3F01" w:rsidRDefault="00011D33" w14:paraId="5B3BE5DC" w14:textId="77777777">
      <w:pPr>
        <w:keepNext/>
      </w:pPr>
    </w:p>
    <w:p w:rsidRPr="00DC308B" w:rsidR="00DF21DA" w:rsidP="00DC308B" w:rsidRDefault="00DF21DA" w14:paraId="04751B43" w14:textId="7C80BDB7">
      <w:pPr>
        <w:pStyle w:val="Heading2"/>
        <w:keepNext/>
      </w:pPr>
      <w:r>
        <w:t>Fil-25 ta’ Frar 2015, il-Kummissjoni ppreżentat il-Komunikazzjoni tagħha dwar “Qafas Strateġiku għal Unjoni tal-Enerġija Reżiljenti b’Politika dwar il-Bidla fil-Klima li tħares ’il quddiem”</w:t>
      </w:r>
      <w:r w:rsidRPr="00DC308B">
        <w:rPr>
          <w:sz w:val="24"/>
          <w:szCs w:val="24"/>
          <w:vertAlign w:val="superscript"/>
        </w:rPr>
        <w:footnoteReference w:id="1"/>
      </w:r>
      <w:r>
        <w:t xml:space="preserve">. L-istrateġija indirizzat il-miri li ġejjin: </w:t>
      </w:r>
    </w:p>
    <w:p w:rsidRPr="00DC308B" w:rsidR="00DF21DA" w:rsidP="00DC308B" w:rsidRDefault="00DF21DA" w14:paraId="1BA38B8B" w14:textId="77777777">
      <w:pPr>
        <w:pStyle w:val="Heading2"/>
        <w:keepNext/>
        <w:numPr>
          <w:ilvl w:val="0"/>
          <w:numId w:val="0"/>
        </w:numPr>
      </w:pPr>
    </w:p>
    <w:p w:rsidRPr="00DC308B" w:rsidR="00DF21DA" w:rsidP="00646DA7" w:rsidRDefault="00DF21DA" w14:paraId="6C2D21CB" w14:textId="3B6DE257">
      <w:pPr>
        <w:pStyle w:val="Heading2"/>
        <w:numPr>
          <w:ilvl w:val="0"/>
          <w:numId w:val="42"/>
        </w:numPr>
        <w:ind w:left="927"/>
      </w:pPr>
      <w:r>
        <w:t>is-sigurtà tal-provvista tal-enerġija, inkluż billi titnaqqas id-dipendenza mill-importazzjonijiet tal-enerġija;</w:t>
      </w:r>
    </w:p>
    <w:p w:rsidRPr="00DC308B" w:rsidR="00DF21DA" w:rsidP="00646DA7" w:rsidRDefault="00DF21DA" w14:paraId="1A7661D5" w14:textId="369773CF">
      <w:pPr>
        <w:pStyle w:val="Heading2"/>
        <w:numPr>
          <w:ilvl w:val="0"/>
          <w:numId w:val="42"/>
        </w:numPr>
        <w:ind w:left="927"/>
      </w:pPr>
      <w:r>
        <w:t>suq Ewropew tal-enerġija integrat b’mod sħiħ;</w:t>
      </w:r>
    </w:p>
    <w:p w:rsidRPr="00DC308B" w:rsidR="00DF21DA" w:rsidP="00646DA7" w:rsidRDefault="00DF21DA" w14:paraId="4A93F03C" w14:textId="77777777">
      <w:pPr>
        <w:pStyle w:val="Heading2"/>
        <w:numPr>
          <w:ilvl w:val="0"/>
          <w:numId w:val="42"/>
        </w:numPr>
        <w:ind w:left="927"/>
      </w:pPr>
      <w:r>
        <w:t xml:space="preserve">ekonomija sostenibbli, b’livell baxx ta’ emissjonijiet tal-karbonju u li ma tagħmilx ħsara lill-klima; </w:t>
      </w:r>
    </w:p>
    <w:p w:rsidRPr="00DC308B" w:rsidR="00DF21DA" w:rsidP="00646DA7" w:rsidRDefault="00DF21DA" w14:paraId="28740F0E" w14:textId="38817C2B">
      <w:pPr>
        <w:pStyle w:val="Heading2"/>
        <w:numPr>
          <w:ilvl w:val="0"/>
          <w:numId w:val="42"/>
        </w:numPr>
        <w:ind w:left="927"/>
      </w:pPr>
      <w:r>
        <w:t>riċerka, innovazzjoni u kompetittività biex l-Ewropa ssir mexxejja globali fil-qasam tas-sorsi ta’ enerġija rinnovabbli;</w:t>
      </w:r>
    </w:p>
    <w:p w:rsidRPr="00DC308B" w:rsidR="00DF21DA" w:rsidP="00646DA7" w:rsidRDefault="00DF21DA" w14:paraId="07725D16" w14:textId="1E57AFBF">
      <w:pPr>
        <w:pStyle w:val="Heading2"/>
        <w:numPr>
          <w:ilvl w:val="0"/>
          <w:numId w:val="42"/>
        </w:numPr>
        <w:ind w:left="927"/>
      </w:pPr>
      <w:r>
        <w:t>il-kwalifiki tal-ħaddiema Ewropej għas-settur tal-enerġija ta’ għada;</w:t>
      </w:r>
    </w:p>
    <w:p w:rsidRPr="00DC308B" w:rsidR="00345823" w:rsidP="00646DA7" w:rsidRDefault="00DF21DA" w14:paraId="08497E97" w14:textId="4969D608">
      <w:pPr>
        <w:pStyle w:val="Heading2"/>
        <w:numPr>
          <w:ilvl w:val="0"/>
          <w:numId w:val="42"/>
        </w:numPr>
        <w:ind w:left="927"/>
      </w:pPr>
      <w:r>
        <w:t>il-fiduċja tal-investituri bbażata fuq sinjali tal-prezzijiet li jirriflettu l-ħtiġijiet fit-tul u l-miri politiċi.</w:t>
      </w:r>
    </w:p>
    <w:p w:rsidRPr="00DC308B" w:rsidR="00345823" w:rsidP="006A16D7" w:rsidRDefault="00345823" w14:paraId="068A23B3" w14:textId="4A2F5AAF">
      <w:pPr>
        <w:ind w:left="567" w:hanging="567"/>
      </w:pPr>
    </w:p>
    <w:p w:rsidRPr="00DC308B" w:rsidR="00DF21DA" w:rsidP="00DF21DA" w:rsidRDefault="00DF21DA" w14:paraId="15B6DB12" w14:textId="7907DF24">
      <w:pPr>
        <w:pStyle w:val="Heading2"/>
      </w:pPr>
      <w:r>
        <w:t xml:space="preserve">L-aktar importanti, madankollu, il-viżjoni tal-Kummissjoni kienet waħda ta’ Unjoni tal-Enerġija “biċ-ċittadini fil-qofol tagħha, fejn iċ-ċittadini jieħdu s-sjieda tat-tranżizzjoni enerġetika, jibbenefikaw minn teknoloġiji ġodda biex jitnaqqsu l-kontijiet tagħhom, jipparteċipaw b’mod attiv fis-suq, u fejn il-konsumaturi vulnerabbli jkunu protetti”. Hija semmiet ukoll il-parteċipazzjoni tal-partijiet ikkonċernati fit-tfassil tal-Unjoni tal-Enerġija bħala prijorità u </w:t>
      </w:r>
      <w:r>
        <w:lastRenderedPageBreak/>
        <w:t>tranżizzjoni soċjalment ġusta bħala prinċipju fundamentali għall-ġestjoni tat-tranżizzjoni enerġetika.</w:t>
      </w:r>
    </w:p>
    <w:p w:rsidRPr="00DC308B" w:rsidR="00DF21DA" w:rsidP="00DF21DA" w:rsidRDefault="00DF21DA" w14:paraId="5B16D218" w14:textId="4D5BD312"/>
    <w:p w:rsidRPr="00DC308B" w:rsidR="00DF21DA" w:rsidP="00DF21DA" w:rsidRDefault="00DF21DA" w14:paraId="56BD3DDE" w14:textId="2D33C6F4">
      <w:pPr>
        <w:pStyle w:val="Heading2"/>
      </w:pPr>
      <w:r>
        <w:t>Il-Kummissjoni enfasizzat ukoll il-ħtieġa għal governanza u monitoraġġ integrati tal-Unjoni tal-Enerġija. Bir-Regolament ta’ Governanza (UE) 2018/1999, l-UE impenjat ruħha għal bażi ġuridika korrispondenti għal dan. Abbażi ta’ dan ir-regolament, l-Istati Membri huma obbligati jissottomettu Pjani Nazzjonali għall-Enerġija u l-Klima (NECP) fuq bażi regolari, li fihom għandhom jiddeskrivu wkoll il-kontributi tagħhom biex jintlaħqu l-miri tal-Unjoni tal-Enerġija.</w:t>
      </w:r>
    </w:p>
    <w:p w:rsidRPr="00DC308B" w:rsidR="00DF21DA" w:rsidP="00DF21DA" w:rsidRDefault="00DF21DA" w14:paraId="79E74D5B" w14:textId="3AE94FE3"/>
    <w:p w:rsidRPr="00DC308B" w:rsidR="00DF21DA" w:rsidP="00DC308B" w:rsidRDefault="00DF21DA" w14:paraId="67165668" w14:textId="32DA7C3F">
      <w:pPr>
        <w:pStyle w:val="Heading2"/>
        <w:keepNext/>
      </w:pPr>
      <w:r>
        <w:t>Fir-rapport tagħha dwar l-Istat tal-Unjoni tal-Enerġija fl-2020, il-Kummissjoni ppreżentat il-progress li sar taħt ħames intestaturi:</w:t>
      </w:r>
    </w:p>
    <w:p w:rsidRPr="00DC308B" w:rsidR="00DF21DA" w:rsidP="00DC308B" w:rsidRDefault="00DF21DA" w14:paraId="5EFDBC74" w14:textId="02DD3EE7">
      <w:pPr>
        <w:keepNext/>
      </w:pPr>
    </w:p>
    <w:p w:rsidRPr="00DC308B" w:rsidR="00DF21DA" w:rsidP="00DC308B" w:rsidRDefault="00DF21DA" w14:paraId="4733A4D4" w14:textId="4154DDF0">
      <w:pPr>
        <w:numPr>
          <w:ilvl w:val="0"/>
          <w:numId w:val="43"/>
        </w:numPr>
        <w:ind w:left="936" w:hanging="369"/>
      </w:pPr>
      <w:r>
        <w:t>id-dekarbonizzazzjoni (inkluża l-espansjoni tas-sorsi ta’ enerġija rinnovabbli)</w:t>
      </w:r>
    </w:p>
    <w:p w:rsidRPr="00DC308B" w:rsidR="00DF21DA" w:rsidP="00DC308B" w:rsidRDefault="00DF21DA" w14:paraId="23472811" w14:textId="33F90B19">
      <w:pPr>
        <w:numPr>
          <w:ilvl w:val="0"/>
          <w:numId w:val="43"/>
        </w:numPr>
        <w:ind w:left="936" w:hanging="369"/>
      </w:pPr>
      <w:r>
        <w:t>l-effiċjenza enerġetika b’kunsiderazzjoni speċjali tal-prinċipju “l-effiċjenza enerġetika tiġi l-ewwel”</w:t>
      </w:r>
    </w:p>
    <w:p w:rsidRPr="00DC308B" w:rsidR="00DF21DA" w:rsidP="00DC308B" w:rsidRDefault="00DF21DA" w14:paraId="7BD8DFDA" w14:textId="1148932F">
      <w:pPr>
        <w:numPr>
          <w:ilvl w:val="0"/>
          <w:numId w:val="43"/>
        </w:numPr>
        <w:ind w:left="936" w:hanging="369"/>
      </w:pPr>
      <w:r>
        <w:t xml:space="preserve">is-sigurtà tal-enerġija (inkluż it-tnaqqis tal-importazzjonijiet tal-enerġija fl-UE, flessibilità akbar u reżiljenza akbar tas-sistemi tal-enerġija nazzjonali) </w:t>
      </w:r>
    </w:p>
    <w:p w:rsidRPr="00DC308B" w:rsidR="00DF21DA" w:rsidP="00DC308B" w:rsidRDefault="00DF21DA" w14:paraId="4A109991" w14:textId="3240ECB1">
      <w:pPr>
        <w:numPr>
          <w:ilvl w:val="0"/>
          <w:numId w:val="43"/>
        </w:numPr>
        <w:ind w:left="936" w:hanging="369"/>
      </w:pPr>
      <w:r>
        <w:t>is-swieq interni tal-enerġija</w:t>
      </w:r>
    </w:p>
    <w:p w:rsidRPr="00DC308B" w:rsidR="00DF21DA" w:rsidP="00DC308B" w:rsidRDefault="00DF21DA" w14:paraId="79E034C0" w14:textId="70A87CB7">
      <w:pPr>
        <w:numPr>
          <w:ilvl w:val="0"/>
          <w:numId w:val="43"/>
        </w:numPr>
        <w:ind w:left="936" w:hanging="369"/>
      </w:pPr>
      <w:r>
        <w:t>ir-riċerka, l-innovazzjoni u l-kompetittività</w:t>
      </w:r>
    </w:p>
    <w:p w:rsidRPr="00DC308B" w:rsidR="00DF21DA" w:rsidP="00DC308B" w:rsidRDefault="00DF21DA" w14:paraId="2954AB3A" w14:textId="0AC57EE8">
      <w:pPr>
        <w:ind w:left="567"/>
      </w:pPr>
    </w:p>
    <w:p w:rsidRPr="00DC308B" w:rsidR="00DF21DA" w:rsidP="00DC308B" w:rsidRDefault="00093F6C" w14:paraId="3039A51D" w14:textId="36645A0E">
      <w:pPr>
        <w:pStyle w:val="Heading2"/>
        <w:numPr>
          <w:ilvl w:val="0"/>
          <w:numId w:val="0"/>
        </w:numPr>
        <w:ind w:left="567"/>
      </w:pPr>
      <w:r>
        <w:t>hija indirizzat ukoll is-suġġett “L-Unjoni tal-Enerġija f’perspettiva usa’ tal-Patt Ekoloġiku”.</w:t>
      </w:r>
    </w:p>
    <w:p w:rsidRPr="00DC308B" w:rsidR="00DF21DA" w:rsidP="00DC308B" w:rsidRDefault="00DF21DA" w14:paraId="2E802998" w14:textId="77777777">
      <w:pPr>
        <w:ind w:firstLine="567"/>
      </w:pPr>
    </w:p>
    <w:p w:rsidRPr="00DC308B" w:rsidR="00DF21DA" w:rsidP="00DF21DA" w:rsidRDefault="00DF21DA" w14:paraId="05C880D1" w14:textId="021FA506">
      <w:pPr>
        <w:pStyle w:val="Heading2"/>
      </w:pPr>
      <w:r>
        <w:t xml:space="preserve">Abbażi ta’ dan, il-Kummissjoni żviluppat ideat dwar “il-ksib ta’ rkupru ekoloġiku u ta’ ekonomija sostenibbli”. F’dan ir-rigward, hija l-ewwel tindirizza l-istrateġiji eżistenti għall-integrazzjoni tas-sistema tal-enerġija u l-iżvilupp tal-idroġenu fl-Ewropa. </w:t>
      </w:r>
    </w:p>
    <w:p w:rsidRPr="00DC308B" w:rsidR="00DF21DA" w:rsidP="00DF21DA" w:rsidRDefault="00DF21DA" w14:paraId="7802882C" w14:textId="77777777">
      <w:pPr>
        <w:pStyle w:val="Heading2"/>
        <w:numPr>
          <w:ilvl w:val="0"/>
          <w:numId w:val="0"/>
        </w:numPr>
      </w:pPr>
    </w:p>
    <w:p w:rsidRPr="00DC308B" w:rsidR="00DF21DA" w:rsidP="00DF21DA" w:rsidRDefault="00DF21DA" w14:paraId="142EED4F" w14:textId="580D0CAE">
      <w:pPr>
        <w:pStyle w:val="Heading2"/>
      </w:pPr>
      <w:r>
        <w:t xml:space="preserve">Il-Kummissjoni tiġġustifika wkoll il-ħtieġa li tiżdied il-mira għat-tnaqqis tal-emissjonijiet tas-CO2 għal mill-anqas 55 % meta mqabbla mal-1990 u tħabbar strateġija biex jitnaqqsu l-emissjonijiet tal-metanu kif ukoll “il-viżjoni strateġika [tagħna] għall-enerġija lil hinn mill-kosta”. F’dan il-kuntest, hija tikkritika l-istrateġiji ppreżentati mill-Istati Membri fl-NECPs tagħhom li ħafna drabi ma jkunux ċari u dettaljati. </w:t>
      </w:r>
    </w:p>
    <w:p w:rsidRPr="00DC308B" w:rsidR="00DF21DA" w:rsidP="00DF21DA" w:rsidRDefault="00DF21DA" w14:paraId="6752A3C6" w14:textId="77777777"/>
    <w:p w:rsidRPr="00DC308B" w:rsidR="00DF21DA" w:rsidP="00DF21DA" w:rsidRDefault="00DF21DA" w14:paraId="6861C5FC" w14:textId="41E6A243">
      <w:pPr>
        <w:pStyle w:val="Heading2"/>
        <w:rPr>
          <w:noProof/>
        </w:rPr>
      </w:pPr>
      <w:r>
        <w:t xml:space="preserve">B’mod ġenerali, il-Kummissjoni tqis li s-sitwazzjoni għadha mhix sodisfaċenti, filwaqt li tinnota li l-miri stabbiliti fil-livell tal-UE għall-2020 għall-użu tal-enerġija rinnovabbli se jintlaħqu fil-parti l-kbira tagħhom. Xi Stati Membri jeħtieġ jagħmlu aktar progress. </w:t>
      </w:r>
    </w:p>
    <w:p w:rsidRPr="00DC308B" w:rsidR="00DF21DA" w:rsidP="00DF21DA" w:rsidRDefault="00DF21DA" w14:paraId="09F53356" w14:textId="77777777">
      <w:pPr>
        <w:pStyle w:val="Heading2"/>
        <w:numPr>
          <w:ilvl w:val="0"/>
          <w:numId w:val="0"/>
        </w:numPr>
        <w:rPr>
          <w:noProof/>
        </w:rPr>
      </w:pPr>
    </w:p>
    <w:p w:rsidRPr="00DC308B" w:rsidR="00DF21DA" w:rsidP="00DF21DA" w:rsidRDefault="00DF21DA" w14:paraId="1EBF151B" w14:textId="3839AFE9">
      <w:pPr>
        <w:pStyle w:val="Heading2"/>
        <w:rPr>
          <w:noProof/>
        </w:rPr>
      </w:pPr>
      <w:r>
        <w:t xml:space="preserve">F’xi każijiet, hija titlob li jsiru sforzi akbar fil-qasam tal-effiċjenza enerġetika; b’mod partikolari fir-rinnovazzjoni tal-bini fejn jeżistu żbilanċi kbar. </w:t>
      </w:r>
    </w:p>
    <w:p w:rsidRPr="00DC308B" w:rsidR="00DF21DA" w:rsidP="00DF21DA" w:rsidRDefault="00DF21DA" w14:paraId="23995C64" w14:textId="77777777">
      <w:pPr>
        <w:pStyle w:val="Heading2"/>
        <w:numPr>
          <w:ilvl w:val="0"/>
          <w:numId w:val="0"/>
        </w:numPr>
        <w:rPr>
          <w:noProof/>
        </w:rPr>
      </w:pPr>
    </w:p>
    <w:p w:rsidRPr="00DC308B" w:rsidR="00DF21DA" w:rsidP="00DF21DA" w:rsidRDefault="00DF21DA" w14:paraId="4D7A28EA" w14:textId="181E5F81">
      <w:pPr>
        <w:pStyle w:val="Heading2"/>
        <w:rPr>
          <w:noProof/>
        </w:rPr>
      </w:pPr>
      <w:r>
        <w:t>Ir-rapport huwa akkumpanjat għall-ewwel darba minn analiżi fil-fond tas-sussidji tal-enerġija</w:t>
      </w:r>
      <w:r w:rsidRPr="00DC308B" w:rsidR="00CA11FD">
        <w:rPr>
          <w:color w:val="0000FF"/>
          <w:sz w:val="24"/>
          <w:szCs w:val="24"/>
          <w:u w:val="single"/>
          <w:vertAlign w:val="superscript"/>
        </w:rPr>
        <w:footnoteReference w:id="2"/>
      </w:r>
      <w:r>
        <w:t>, li fiha huwa stabbilit b’mod ċar li a) għad hemm bżonn ta’ data aħjar dwar is-sussidji tal-</w:t>
      </w:r>
      <w:r>
        <w:lastRenderedPageBreak/>
        <w:t>enerġija</w:t>
      </w:r>
      <w:r w:rsidRPr="00DC308B">
        <w:rPr>
          <w:sz w:val="24"/>
          <w:szCs w:val="24"/>
          <w:vertAlign w:val="superscript"/>
        </w:rPr>
        <w:footnoteReference w:id="3"/>
      </w:r>
      <w:r>
        <w:t xml:space="preserve"> u b) “hemm ħtieġa ċara li jiżdiedu l-isforzi biex jitnaqqsu s-sussidji” fuq il-fjuwils fossili. L-istrumenti legali li jeżistu bħalissa fil-livell tal-UE huma deskritti bħala insuffiċjenti.</w:t>
      </w:r>
    </w:p>
    <w:p w:rsidRPr="00DC308B" w:rsidR="00DF21DA" w:rsidP="00DF21DA" w:rsidRDefault="00DF21DA" w14:paraId="628088E0" w14:textId="77777777">
      <w:pPr>
        <w:pStyle w:val="Heading2"/>
        <w:numPr>
          <w:ilvl w:val="0"/>
          <w:numId w:val="0"/>
        </w:numPr>
        <w:rPr>
          <w:noProof/>
        </w:rPr>
      </w:pPr>
    </w:p>
    <w:p w:rsidRPr="00DC308B" w:rsidR="00DF21DA" w:rsidP="00DF21DA" w:rsidRDefault="00DF21DA" w14:paraId="780FDA7B" w14:textId="604293E1">
      <w:pPr>
        <w:pStyle w:val="Heading2"/>
        <w:rPr>
          <w:noProof/>
        </w:rPr>
      </w:pPr>
      <w:r>
        <w:t>Tqiesu wkoll bħala “mhumiex inkoraġġanti” il-fatt li f’dawn l-aħħar snin ġew investiti anqas u anqas fondi għar-R&amp;Ż f’dan is-settur, kif ukoll il-fatt li l-Ewropa baqgħet lura meta mqabbla ma’ reġjuni ekonomiċi oħra. Il-Kummissjoni tħabbar li se tagħmel sforzi, pereżempju fl-oqsma tal-ħażna tal-batteriji u l-idroġenu, biex terġa’ tagħti l-ħajja lir-riċerka u l-innovazzjoni u biex tindirizza t-tnaqqis fl-investiment osservat fil-livell nazzjonali.</w:t>
      </w:r>
    </w:p>
    <w:p w:rsidRPr="00DC308B" w:rsidR="00DF21DA" w:rsidP="00DF21DA" w:rsidRDefault="00DF21DA" w14:paraId="133D8A1C" w14:textId="77777777"/>
    <w:p w:rsidRPr="00DC308B" w:rsidR="00DF21DA" w:rsidP="00DF21DA" w:rsidRDefault="00DF21DA" w14:paraId="3AE81D87" w14:textId="1D0BC220">
      <w:pPr>
        <w:pStyle w:val="Heading2"/>
      </w:pPr>
      <w:r>
        <w:t>Ġie stabbilit li l-ispejjeż tal-importazzjonijiet tal-enerġija reġgħu żdiedu f’dawn l-aħħar snin (għal aktar minn EUR 330 biljun fis-sena), u dan reġġa’ lura x-xejra preċedenti ta’ tnaqqis.</w:t>
      </w:r>
    </w:p>
    <w:p w:rsidRPr="00DC308B" w:rsidR="00DF21DA" w:rsidP="00DF21DA" w:rsidRDefault="00DF21DA" w14:paraId="75C19736" w14:textId="77777777"/>
    <w:p w:rsidRPr="00DC308B" w:rsidR="00DF21DA" w:rsidP="00DF21DA" w:rsidRDefault="00DF21DA" w14:paraId="1ED2E449" w14:textId="6723145F">
      <w:pPr>
        <w:pStyle w:val="Heading2"/>
      </w:pPr>
      <w:r>
        <w:t>Il-Kummissjoni tagħlaq ir-rapport tagħha billi tafferma li l-kriżi tal-coronavirus tippreżenta lill-Ewropa b’opportunità unika biex tagħmel investimenti li jistgħu jappoġġjaw l-irkupru tal-ekonomija tal-UE filwaqt li taċċellera t-tranżizzjoni ekoloġika u diġitali.</w:t>
      </w:r>
    </w:p>
    <w:p w:rsidRPr="00DC308B" w:rsidR="00DF21DA" w:rsidP="00DF21DA" w:rsidRDefault="00DF21DA" w14:paraId="1B8C8D21" w14:textId="77777777"/>
    <w:p w:rsidRPr="00DC308B" w:rsidR="00DF21DA" w:rsidP="00DF21DA" w:rsidRDefault="00DF21DA" w14:paraId="23AA7E46" w14:textId="1906A37E">
      <w:pPr>
        <w:pStyle w:val="Heading2"/>
      </w:pPr>
      <w:r>
        <w:t>Fil-Komunikazzjoni tagħha dwar il-valutazzjoni mal-Unjoni kollha tal-pjani nazzjonali għall-enerġija u l-klima, il-Kummissjoni tilqa’ l-fatt li l-progress fit-tnaqqis tal-gassijiet serra u l-progress fl-enerġija rinnovabbli fl-2021 diġà wasslu għal żieda sinifikanti fl-ambizzjonijiet korrispondenti għall-2030. Min-naħa l-oħra, il-Kummissjoni tirrikonoxxi li hemm ħtiġijiet kbar f’termini ta’ effiċjenza enerġetika, investimenti fir-riċerka u innovazzjonijiet. Sabiex jiġu indirizzati n-nuqqasijiet ikkonċernati, jeħtieġ li l-Istati Membri jqisu l-opportunitajiet il-ġodda ta’ finanzjament fl-ambitu tal-Qafas Finanzjarju Pluriennali u l-Faċilità għall-Irkupru u r-Reżiljenza.</w:t>
      </w:r>
    </w:p>
    <w:p w:rsidRPr="00DC308B" w:rsidR="00392EF1" w:rsidP="00392EF1" w:rsidRDefault="00392EF1" w14:paraId="38D85B31" w14:textId="2E961120"/>
    <w:p w:rsidRPr="00DC308B" w:rsidR="00392EF1" w:rsidP="00646DA7" w:rsidRDefault="00392EF1" w14:paraId="4E1BB205" w14:textId="7D00AA7A">
      <w:pPr>
        <w:pStyle w:val="Heading1"/>
        <w:keepNext/>
        <w:keepLines/>
        <w:rPr>
          <w:b/>
          <w:color w:val="000000" w:themeColor="text1"/>
        </w:rPr>
      </w:pPr>
      <w:r>
        <w:rPr>
          <w:b/>
        </w:rPr>
        <w:t>Kummenti ġenerali tal-KESE</w:t>
      </w:r>
    </w:p>
    <w:p w:rsidRPr="00DC308B" w:rsidR="00392EF1" w:rsidP="00646DA7" w:rsidRDefault="00392EF1" w14:paraId="1D990847" w14:textId="5BF34F3C">
      <w:pPr>
        <w:keepNext/>
        <w:keepLines/>
      </w:pPr>
    </w:p>
    <w:p w:rsidRPr="00DC308B" w:rsidR="00392EF1" w:rsidP="00392EF1" w:rsidRDefault="00392EF1" w14:paraId="5E53DA7F" w14:textId="4CA5B428">
      <w:pPr>
        <w:pStyle w:val="Heading2"/>
      </w:pPr>
      <w:r>
        <w:t xml:space="preserve">Qabelxejn, il-Kummissjoni jistħoqqilha tifħir speċjali: il-metikolużità li biha topera l-governanza tal-Unjoni tal-Enerġija u li hija espressa fid-dokumenti estensivi (inklużi l-annessi) turi li hija taħdem b’serjetà kbira. Dan huwa wkoll assolutament meħtieġ, minħabba li l-miri għall-protezzjoni tal-klima li ġew stabbiliti sa issa u li għandhom jissaħħu, jekk jintlaħqu, se jintlaħqu biss marġinalment. Il-mira li l-Unjoni Ewropea tikseb newtralità klimatika sa mhux aktar tard mill-2050 hija importanti ħafna u teħtieġ ippjanar strateġiku u koordinazzjoni ta’ approċċi ta’ politika differenti ħafna li jistgħu jkunu storikament uniċi u li għandhom imorru lil hinn minn dak li ġie deċiż sa issa. </w:t>
      </w:r>
    </w:p>
    <w:p w:rsidRPr="00DC308B" w:rsidR="00392EF1" w:rsidP="00392EF1" w:rsidRDefault="00392EF1" w14:paraId="51F225E2" w14:textId="77777777">
      <w:pPr>
        <w:pStyle w:val="Heading2"/>
        <w:numPr>
          <w:ilvl w:val="0"/>
          <w:numId w:val="0"/>
        </w:numPr>
        <w:ind w:left="567"/>
        <w:rPr>
          <w:color w:val="000000" w:themeColor="text1"/>
        </w:rPr>
      </w:pPr>
    </w:p>
    <w:p w:rsidRPr="00DC308B" w:rsidR="00392EF1" w:rsidP="00DC308B" w:rsidRDefault="00392EF1" w14:paraId="51A43095" w14:textId="2EC75625">
      <w:pPr>
        <w:pStyle w:val="Heading2"/>
        <w:rPr>
          <w:noProof/>
        </w:rPr>
      </w:pPr>
      <w:r>
        <w:t>F’dan l-isfond, il-KESE jaqbel bis-sħiħ mal-Kummissjoni meta din tenfasizza l-ħtieġa li l-Istati Membri jiżviluppaw strateġiji aktar ċari u jimplimentawhom mingħajr dewmien. Għal dan il-għan, għandha tingħata kunsiderazzjoni aktar adegwata lill-implikazzjonijiet għas-soċjetà, l-impjiegi u l-ħiliet, kif ukoll effetti distributtivi oħrajn tat-tranżizzjoni tal-enerġija, u biex jiġi spjegat kif għandhom jiġu indirizzati dawn l-isfidi.</w:t>
      </w:r>
    </w:p>
    <w:p w:rsidRPr="00DC308B" w:rsidR="00392EF1" w:rsidP="00392EF1" w:rsidRDefault="00392EF1" w14:paraId="22E8AA09" w14:textId="77777777"/>
    <w:p w:rsidRPr="00DC308B" w:rsidR="00392EF1" w:rsidP="00392EF1" w:rsidRDefault="00392EF1" w14:paraId="52CFCFF1" w14:textId="390FF1FD">
      <w:pPr>
        <w:pStyle w:val="Heading2"/>
      </w:pPr>
      <w:r>
        <w:lastRenderedPageBreak/>
        <w:t>Il-konklużjonijiet tal-Kummissjoni huma komprensibbli u jistħoqqilhom appoġġ. Dan japplika b’mod partikolari għad-determinazzjoni li l-progress li sar fl-ilħuq tal-mira li jitnaqqsu l-emissjonijiet tal-gassijiet serra, li tiżdied l-effiċjenza enerġetika u li jiġu estiżi s-sorsi ta’ enerġija rinnovabbli jirrappreżenta l-bażi għal miri ogħla.</w:t>
      </w:r>
    </w:p>
    <w:p w:rsidRPr="00DC308B" w:rsidR="00392EF1" w:rsidP="00392EF1" w:rsidRDefault="00392EF1" w14:paraId="096944FE" w14:textId="77777777">
      <w:pPr>
        <w:pStyle w:val="Heading2"/>
        <w:numPr>
          <w:ilvl w:val="0"/>
          <w:numId w:val="0"/>
        </w:numPr>
        <w:ind w:left="567"/>
        <w:rPr>
          <w:color w:val="000000" w:themeColor="text1"/>
        </w:rPr>
      </w:pPr>
    </w:p>
    <w:p w:rsidRPr="00DC308B" w:rsidR="00392EF1" w:rsidP="00392EF1" w:rsidRDefault="00392EF1" w14:paraId="26888217" w14:textId="77E89CF7">
      <w:pPr>
        <w:pStyle w:val="Heading2"/>
      </w:pPr>
      <w:r>
        <w:t>Il-KESE jaqbel ukoll mal-Kummissjoni li hemm bżonn impetu ġdid. Madankollu, kienet tkun ħaġa tajba li kieku l-Kummissjoni speċifikat fiex għandhom jikkonsistu l-impeti l-ġodda.</w:t>
      </w:r>
    </w:p>
    <w:p w:rsidRPr="00DC308B" w:rsidR="00392EF1" w:rsidP="00392EF1" w:rsidRDefault="00392EF1" w14:paraId="5DF38093" w14:textId="77777777"/>
    <w:p w:rsidRPr="00DC308B" w:rsidR="00392EF1" w:rsidP="00392EF1" w:rsidRDefault="00392EF1" w14:paraId="61986789" w14:textId="0BFCD9DD">
      <w:pPr>
        <w:pStyle w:val="Heading2"/>
      </w:pPr>
      <w:r>
        <w:t>Jidher loġiku wkoll li l-Kummissjoni torbot l-iżvilupp tal-Unjoni tal-Enerġija mal-Patt Ekoloġiku Ewropew u l-politika ta’ rikostruzzjoni fid-dawl tal-pandemija - it-tnejn huma approċċi li kienu għadhom ma ġewx rikonoxxuti fiż-żmien meta l-Qafas Strateġiku għall-Unjoni tal-Enerġija u r-Regolament dwar il-Governanza kienu qed jiġu żviluppati. Il-KESE jenfasizza li l-Unjoni tal-Enerġija Ewropea tipprovdi bażi ideali biex tittieħed azzjoni fir-rigward tal-Patt Ekoloġiku. Kien ikun aktar importanti li kieku n-nuqqasijiet li rriżultaw fir-reviżjoni attwali ġew identifikati b’mod aktar preċiż u ġew żviluppati kontrostrateġiji. Dan ma seħħx f’mill-anqas tliet każijiet, li se jiġu diskussi hawn taħt.</w:t>
      </w:r>
    </w:p>
    <w:p w:rsidRPr="00DC308B" w:rsidR="00392EF1" w:rsidP="00392EF1" w:rsidRDefault="00392EF1" w14:paraId="68A06B5E" w14:textId="77777777"/>
    <w:p w:rsidRPr="00DC308B" w:rsidR="00392EF1" w:rsidP="00646DA7" w:rsidRDefault="00392EF1" w14:paraId="6D43E2D7" w14:textId="7E3E9C91">
      <w:pPr>
        <w:keepNext/>
        <w:keepLines/>
        <w:ind w:left="567"/>
        <w:rPr>
          <w:i/>
        </w:rPr>
      </w:pPr>
      <w:r>
        <w:rPr>
          <w:i/>
        </w:rPr>
        <w:t>In-nuqqas li tiġi implimentata l-mira “Unjoni tal-Enerġija biċ-ċittadini fil-qofol tagħha”</w:t>
      </w:r>
    </w:p>
    <w:p w:rsidRPr="00DC308B" w:rsidR="00392EF1" w:rsidP="00646DA7" w:rsidRDefault="00392EF1" w14:paraId="60624F4F" w14:textId="77777777">
      <w:pPr>
        <w:keepNext/>
        <w:keepLines/>
      </w:pPr>
    </w:p>
    <w:p w:rsidRPr="00DC308B" w:rsidR="00392EF1" w:rsidP="008A5FF3" w:rsidRDefault="00392EF1" w14:paraId="3689779F" w14:textId="213C9B49">
      <w:pPr>
        <w:pStyle w:val="Heading2"/>
      </w:pPr>
      <w:r>
        <w:t xml:space="preserve">Kif ikkwotat fil-punt 2.2, , il-Kummissjoni identifikat l-importanza ta’ politiki mmexxija miċ-ċittadini u ffukati fuq iċ-ċittadini bħala </w:t>
      </w:r>
      <w:r>
        <w:rPr>
          <w:i/>
          <w:iCs/>
        </w:rPr>
        <w:t>l-aktar mira importanti</w:t>
      </w:r>
      <w:r>
        <w:t xml:space="preserve">(!) fil-qafas strateġiku tal-Unjoni tal-Enerġija. Għalhekk, din il-mira għandha tiġi rikonoxxuta b’mod speċjali fir-rapport dwar l-Istat tal-Unjoni tal-Enerġija, b’mod partikolari permezz ta’ proposti speċifiċi bħall-parteċipazzjoni u l-involviment trasparenti u attiv taċ-ċittadini, l-imsieħba soċjali u l-partijiet ikkonċernati fil-proċessi tat-teħid tad-deċiżjonijiet, pereżempju l-NECP, kif ukoll parteċipazzjoni attiva u parteċipazzjoni fil-proċessi tas-suq. Fil-fatt, madankollu, l-aspett tal-parteċipazzjoni lanqas biss jissemma fir-rapport, u ma hemm l-ebda kunsiderazzjoni dwar jekk il-miżuri proposti għall-futur iservux espliċitament dan il-għan. </w:t>
      </w:r>
    </w:p>
    <w:p w:rsidRPr="00DC308B" w:rsidR="00392EF1" w:rsidP="00392EF1" w:rsidRDefault="00392EF1" w14:paraId="52BED425" w14:textId="77777777">
      <w:pPr>
        <w:pStyle w:val="Heading2"/>
        <w:numPr>
          <w:ilvl w:val="0"/>
          <w:numId w:val="0"/>
        </w:numPr>
        <w:ind w:left="567"/>
        <w:rPr>
          <w:color w:val="000000" w:themeColor="text1"/>
        </w:rPr>
      </w:pPr>
    </w:p>
    <w:p w:rsidRPr="00DC308B" w:rsidR="00392EF1" w:rsidP="008A5FF3" w:rsidRDefault="00392EF1" w14:paraId="7DDD70EB" w14:textId="2D1DF83E">
      <w:pPr>
        <w:pStyle w:val="Heading2"/>
      </w:pPr>
      <w:r>
        <w:t>Il-problema bħalissa hija evidenti wkoll, fost affarijiet oħra, fl-istrateġija ppreżentata mill-Kummissjoni għall-integrazzjoni tas-sistema tal-enerġija, li fiha ċ-ċittadini jidhru biss bħala konsumaturi u mhux bħala parteċipanti attivi fis-suq. Anke fir-rigward tal-prijoritajiet deskritti mill-Kummissjoni Ewropea</w:t>
      </w:r>
      <w:r w:rsidRPr="00DC308B">
        <w:rPr>
          <w:color w:val="000000" w:themeColor="text1"/>
          <w:sz w:val="24"/>
          <w:szCs w:val="24"/>
          <w:vertAlign w:val="superscript"/>
        </w:rPr>
        <w:footnoteReference w:id="4"/>
      </w:r>
      <w:r>
        <w:t>, jiġifieri l-istrateġija tal-idroġenu u t-tħabbira ta’ “il-viżjoni strateġika [tagħna] għall-enerġija lil hinn mill-kosta”, huwa diffiċli li wieħed jimmaġina li l-involviment taċ-ċittadini huwa saħansitra possibbli jew previst. Għalhekk huwa ta’ dispjaċir kbir li l-Kummissjoni, fil-Komunikazzjoni tagħha dwar l-evalwazzjoni tal-NECPs, tiddikjara li beħsiebha tuża l-mekkaniżmi ġodda ta’ finanzjament tal-UE għall-enerġija rinnovabbli b’mod partikolari biex tippromovi teknoloġiji lil hinn mill-kosta.</w:t>
      </w:r>
    </w:p>
    <w:p w:rsidRPr="00DC308B" w:rsidR="00392EF1" w:rsidP="00392EF1" w:rsidRDefault="00392EF1" w14:paraId="3341F3A3" w14:textId="77777777"/>
    <w:p w:rsidRPr="00DC308B" w:rsidR="00392EF1" w:rsidP="008A5FF3" w:rsidRDefault="00392EF1" w14:paraId="042C8F42" w14:textId="35CC9257">
      <w:pPr>
        <w:pStyle w:val="Heading2"/>
      </w:pPr>
      <w:r>
        <w:t xml:space="preserve">Meta tagħmel dan, il-Kummissjoni qed tinjora l-liġi Ewropea applikabbli: dan minħabba li fil-Premessa 43 tad-Direttiva dwar is-Suq Intern tal-Elettriku (UE) 2019/944 huwa ddikjarat li: “l-enerġija komunitarja [ssir] mezz effikaċi u kosteffiċjenti biex jintlaħqu l-ħtiġijiet u l-aspettattivi taċ-ċittadini”. [...] Permezz tal-involviment dirett tal-konsumaturi, l-inizjattivi tal-enerġija komunitarja juru l-potenzjal tagħhom biex jiffaċilitaw l-adozzjoni ta’ teknoloġiji ġodda u xejriet </w:t>
      </w:r>
      <w:r>
        <w:lastRenderedPageBreak/>
        <w:t>ta’ konsum ġodda, inklużi grilji tad-distribuzzjoni intelliġenti u rispons tad-domanda, b’mod integrat. L-enerġija komunitarja tista’ wkoll tavvanza l-effiċjenza fl-użu tal-enerġija fuq il-livell tal-konsumaturi domestiċi u tgħin fil-ġlieda kontra l-faqar enerġetiku permezz ta’ tnaqqis tal-konsum u tariffi ta’ forniment aktar baxxi. [...] Fejn tħaddmu b’suċċess, tali inizjattivi taw benefiċċji ekonomiċi, soċjali u ambjentali fil-komunità.” Fl-opinjoni tal-leġiżlaturi Ewropej, l-enerġija komunitarja tista’ b’hekk tirrimedja għadd ta’ nuqqasijiet li d-dokumenti tal-Kummissjoni lmentaw dwarhom. Huwa aktar inkomprensibbli l-fatt li l-Kummissjoni ma tirrikonoxxix dan fid-dokumenti tagħha stess. Hemm diskrepanzi kbar ħafna bejn l-aspirazzjoni u r-realtà, u l-KESE għadu ma jistax jirrikonoxxi strateġija reali mill-Kummissjoni biex iċ-ċittadini jsiru msieħba attivi.</w:t>
      </w:r>
    </w:p>
    <w:p w:rsidRPr="00DC308B" w:rsidR="00392EF1" w:rsidP="00392EF1" w:rsidRDefault="00392EF1" w14:paraId="3C807EB0" w14:textId="77777777"/>
    <w:p w:rsidRPr="00DC308B" w:rsidR="00392EF1" w:rsidP="008A5FF3" w:rsidRDefault="00392EF1" w14:paraId="28890A1E" w14:textId="49B370FB">
      <w:pPr>
        <w:pStyle w:val="Heading2"/>
      </w:pPr>
      <w:r>
        <w:t xml:space="preserve">Madankollu, din il-kritika għandha tkun indirizzata wkoll fil-konfront tal-maġġoranza tal-Istati Membri, li, abbażi tal-Artikolu 20 tar-Regolament ta’ Governanza (UE) 2018/1999, għandhom jindirizzaw l-enerġija komunitarja fl-NECP nazzjonali tagħhom. Fl-evalwazzjoni tagħha, il-Kummissjoni tenfasizza li l-Istati Membri ma għamlux dan jew għamlu dan b’mod insuffiċjenti biss. Il-KESE jistieden lill-Kummissjoni Ewropea tipproponi linji gwida aktar speċifiċi għall-promozzjoni tal-enerġija komunitarja fir-reviżjoni li jmiss tad-Direttiva dwar is-Sorsi tal-Enerġija Rinnovabbli. </w:t>
      </w:r>
    </w:p>
    <w:p w:rsidRPr="00DC308B" w:rsidR="00392EF1" w:rsidP="00392EF1" w:rsidRDefault="00392EF1" w14:paraId="78A96007" w14:textId="77777777"/>
    <w:p w:rsidRPr="00DC308B" w:rsidR="00392EF1" w:rsidP="00646DA7" w:rsidRDefault="00392EF1" w14:paraId="14D5EE79" w14:textId="0F4FBC5D">
      <w:pPr>
        <w:keepNext/>
        <w:keepLines/>
        <w:ind w:left="567"/>
        <w:rPr>
          <w:i/>
        </w:rPr>
      </w:pPr>
      <w:r>
        <w:rPr>
          <w:i/>
        </w:rPr>
        <w:t>Implimentazzjoni insuffiċjenti tal-miri ta’ “sigurtà tal-provvista/tnaqqis tal-importazzjonijiet tal-enerġija”</w:t>
      </w:r>
    </w:p>
    <w:p w:rsidRPr="00DC308B" w:rsidR="00392EF1" w:rsidP="00646DA7" w:rsidRDefault="00392EF1" w14:paraId="6E2A4A3B" w14:textId="77777777">
      <w:pPr>
        <w:keepNext/>
        <w:keepLines/>
      </w:pPr>
    </w:p>
    <w:p w:rsidRPr="00DC308B" w:rsidR="00392EF1" w:rsidP="00EC4936" w:rsidRDefault="00392EF1" w14:paraId="676EB510" w14:textId="4D408E6F">
      <w:pPr>
        <w:pStyle w:val="Heading2"/>
        <w:rPr>
          <w:noProof/>
        </w:rPr>
      </w:pPr>
      <w:r>
        <w:t xml:space="preserve">Mira strateġika tal-Unjoni tal-Enerġija hija li tiżdied is-sigurtà tal-provvista tal-enerġija, fost l-oħrajn billi jitnaqqsu l-importazzjonijiet tal-enerġija. Il-Kummissjoni tinnota, b’mod xi ftit jew wisq każwali, li ma jista’ jiġi rikonoxxut l-ebda progress – iżda għall-kuntrarju ta’ dan, in-nefqa fuq l-importazzjonijiet tal-enerġija reġgħet żdiedet. L-importanza dejjem tikber tal-idroġenu tista’ saħansitra tikkontribwixxi għall-fatt li l-importazzjonijiet se jkomplu jiżdiedu fil-ġejjieni, peress li fl-istrateġija tagħha dwar l-idroġenu, il-Kummissjoni tiffoka deliberatament fuq l-importazzjonijiet! Il-KESE jistenna li l-Kummissjoni tipprovdi spjegazzjoni ċara f’dan ir-rigward. </w:t>
      </w:r>
    </w:p>
    <w:p w:rsidRPr="00DC308B" w:rsidR="00392EF1" w:rsidP="00392EF1" w:rsidRDefault="00392EF1" w14:paraId="33AD2944" w14:textId="07779C0A"/>
    <w:p w:rsidRPr="00DC308B" w:rsidR="00E6375E" w:rsidP="00C146D8" w:rsidRDefault="00E6375E" w14:paraId="12A9D05A" w14:textId="19EA0D96">
      <w:pPr>
        <w:pStyle w:val="Heading2"/>
      </w:pPr>
      <w:r>
        <w:t>Il-KESE jappella wkoll li jiġi applikat il-prinċipju ta’ solidarjetà Ewropea fl-iżgurar ta’ importazzjonijiet inevitabbli tal-enerġija. Azzjonijiet nazzjonali unilaterali bħall-proġett tal-pipeline Nord Stream 2 mhux talli jistgħu jipperikolaw il-protezzjoni tal-klima, iżda wkoll is-sigurtà tal-provvista. Azzjonijiet bħal dawn, li jimminaw is-solidarjetà Ewropea, iqiegħdu f’riskju l-fiduċja taċ-ċittadini fl-UE u l-immaġni tal-UE f’pajjiżi terzi.</w:t>
      </w:r>
    </w:p>
    <w:p w:rsidRPr="00DC308B" w:rsidR="00E6375E" w:rsidP="00392EF1" w:rsidRDefault="00E6375E" w14:paraId="1D935F3C" w14:textId="77777777"/>
    <w:p w:rsidRPr="00DC308B" w:rsidR="00392EF1" w:rsidP="00646DA7" w:rsidRDefault="00392EF1" w14:paraId="1514EB33" w14:textId="11B573FC">
      <w:pPr>
        <w:keepNext/>
        <w:keepLines/>
        <w:ind w:left="567"/>
        <w:rPr>
          <w:i/>
        </w:rPr>
      </w:pPr>
      <w:r>
        <w:rPr>
          <w:i/>
        </w:rPr>
        <w:t>Nuqqas li tiġi implimentata l-mira ta’ “innovazzjoni, tmexxija globali”</w:t>
      </w:r>
    </w:p>
    <w:p w:rsidRPr="00DC308B" w:rsidR="00392EF1" w:rsidP="00646DA7" w:rsidRDefault="00392EF1" w14:paraId="5E8FC0AB" w14:textId="77777777">
      <w:pPr>
        <w:keepNext/>
        <w:keepLines/>
      </w:pPr>
    </w:p>
    <w:p w:rsidRPr="00DC308B" w:rsidR="00392EF1" w:rsidP="008A5FF3" w:rsidRDefault="00392EF1" w14:paraId="4BDF425A" w14:textId="06A2CE2B">
      <w:pPr>
        <w:pStyle w:val="Heading2"/>
        <w:rPr>
          <w:noProof/>
        </w:rPr>
      </w:pPr>
      <w:r>
        <w:t xml:space="preserve">Anke fil-qasam tal-innovazzjoni, l-istampa hija pjuttost negattiva. L-aspirazzjoni kbira tal-Unjoni tal-Enerġija li tkun mexxejja globali hija mxekkla fid-dawl tar-rapport tal-Istat tal-Unjoni tal-Enerġija meta tiġi biex tinvesti fir-riċerka u l-innovazzjoni u applikazzjonijiet għal privattivi. Fid-dawl ta’ din is-sejba inkwetanti, jeħtieġ li ssir analiżi bir-reqqa u fil-fond tal-iżbalji, sabiex il-kawża tagħhom tkun tista’ tiġi identifikata u ddeterminata b’mod preċiż. Abbażi ta’ dan, għandhom jiġu żviluppati kontromiżuri konkreti. </w:t>
      </w:r>
    </w:p>
    <w:p w:rsidRPr="00DC308B" w:rsidR="00392EF1" w:rsidP="00392EF1" w:rsidRDefault="00392EF1" w14:paraId="4F01558E" w14:textId="77777777"/>
    <w:p w:rsidRPr="00DC308B" w:rsidR="00392EF1" w:rsidP="008A5FF3" w:rsidRDefault="00392EF1" w14:paraId="013C00C8" w14:textId="71F64346">
      <w:pPr>
        <w:pStyle w:val="Heading2"/>
      </w:pPr>
      <w:r>
        <w:lastRenderedPageBreak/>
        <w:t>Fid-dawl tal-isfond deskritt fil-punti 3.6 sa 3.11 għandu jiġi ċċarat li: mhuwiex biżżejjed li dejjem jintużaw l-istess slogans jekk ma jiġux segwiti minn azzjonijiet konkreti. Inkella se tiġi ddubitata l-kredibilità tal-politika Ewropea. Tabilħaqq, l-ebda dokument eżistenti tal-Kummissjoni, inkluża l-istrateġija għall-integrazzjoni tas-sistema tal-enerġija u l-idroġenu, ma jidentifika xi miżuri konkreti li jistgħu jgħinu biex jintlaħqu l-għanijiet ta’ hawn fuq.</w:t>
      </w:r>
    </w:p>
    <w:p w:rsidRPr="00DC308B" w:rsidR="00392EF1" w:rsidP="00392EF1" w:rsidRDefault="00392EF1" w14:paraId="1202D3DE" w14:textId="77777777"/>
    <w:p w:rsidRPr="00DC308B" w:rsidR="00392EF1" w:rsidP="00646DA7" w:rsidRDefault="00392EF1" w14:paraId="118696E3" w14:textId="0F7FC281">
      <w:pPr>
        <w:keepNext/>
        <w:keepLines/>
        <w:ind w:left="567"/>
        <w:rPr>
          <w:i/>
        </w:rPr>
      </w:pPr>
      <w:r>
        <w:rPr>
          <w:i/>
        </w:rPr>
        <w:t>Rilevanza politika soċjali u reġjonali tal-Unjoni tal-Enerġija</w:t>
      </w:r>
    </w:p>
    <w:p w:rsidRPr="00DC308B" w:rsidR="00392EF1" w:rsidP="00646DA7" w:rsidRDefault="00392EF1" w14:paraId="73572E85" w14:textId="77777777">
      <w:pPr>
        <w:keepNext/>
        <w:keepLines/>
      </w:pPr>
    </w:p>
    <w:p w:rsidRPr="00DC308B" w:rsidR="00392EF1" w:rsidP="008A5FF3" w:rsidRDefault="00392EF1" w14:paraId="72A09D06" w14:textId="58AB09FD">
      <w:pPr>
        <w:pStyle w:val="Heading2"/>
        <w:rPr>
          <w:noProof/>
        </w:rPr>
      </w:pPr>
      <w:r>
        <w:t xml:space="preserve">Il-Kummissjoni tagħmel ukoll xi kunsiderazzjonijiet ta’ politika soċjali fil-Kapitoli 2.6 u 3.3 tar-rapport tagħha dwar l-Istat tal-Unjoni tal-Enerġija. Dawn huma korretti; il-KESE jappoġġja b’mod partikolari l-fatt li l-għajnuna għall-irkupru fid-dawl tal-coronavirus għandha tintrabat mal-miri tal-politika dwar il-klima u l-enerġija. Il-miżuri ppjanati għal tranżizzjoni ġusta huma wkoll korretti u jservu ta’ bażi biex il-persuni jiġu mħeġġa jappoġġjaw l-ilħuq tal-miri tal-politika dwar il-klima u l-enerġija. Jekk dan jistax effettivament jgħin fir-rigward tal-prinċipju li “ħadd ma jitħalla jibqa’ lura” se jiddependi b’mod speċifiku mill-operazzjonalizzazzjoni u l-finanzjament tal-istrumenti individwali kif ukoll l-implimentazzjoni konkreta tagħhom fil-livell nazzjonali. </w:t>
      </w:r>
    </w:p>
    <w:p w:rsidRPr="00DC308B" w:rsidR="00392EF1" w:rsidP="00392EF1" w:rsidRDefault="00392EF1" w14:paraId="16B4E100" w14:textId="77777777"/>
    <w:p w:rsidRPr="00DC308B" w:rsidR="00392EF1" w:rsidP="008A5FF3" w:rsidRDefault="00392EF1" w14:paraId="34286D2E" w14:textId="794B737B">
      <w:pPr>
        <w:pStyle w:val="Heading2"/>
        <w:rPr>
          <w:noProof/>
        </w:rPr>
      </w:pPr>
      <w:r>
        <w:t>Il-KESE jfakkar fil-konvinzjoni li esprima f’Opinjonijiet</w:t>
      </w:r>
      <w:r w:rsidRPr="00DC308B">
        <w:rPr>
          <w:noProof/>
          <w:sz w:val="24"/>
          <w:szCs w:val="24"/>
          <w:vertAlign w:val="superscript"/>
        </w:rPr>
        <w:footnoteReference w:id="5"/>
      </w:r>
      <w:r>
        <w:t xml:space="preserve"> preċedenti: mhuwiex biżżejjed li l-fondi għall-koeżjoni soċjali u reġjonali u ta’ rikostruzzjoni jintużaw b’tali mod li jappoġġjaw il-protezzjoni tal-klima u t-tranżizzjoni enerġetika. Pjuttost, il-politika dwar il-klima u l-enerġija għandha (u tista’) tkun imfassla b’tali mod li tippromovi l-koeżjoni soċjali u reġjonali. Approċċi bħal dawn diġà jeżistu, uħud minnhom huma saħansitra elenkati fil-Komunikazzjoni dwar il-valutazzjoni tal-NECP, pereżempju proġetti biex jinbnew sistemi solari f’żoni li qabel kienu jintużaw għall-estrazzjoni tal-linjite fil-Portugall u l-Greċja jew il-promozzjoni tal-prosumaturi orjentata b’mod strateġiku ħafna fil-Litwanja. Iżda dawn l-eżempji mhuma xejn aktar ħlief prattika jew tendenza ġenerali.</w:t>
      </w:r>
    </w:p>
    <w:p w:rsidRPr="00DC308B" w:rsidR="00392EF1" w:rsidP="00392EF1" w:rsidRDefault="00392EF1" w14:paraId="0DF14FB0" w14:textId="77777777"/>
    <w:p w:rsidRPr="00DC308B" w:rsidR="00392EF1" w:rsidP="008A5FF3" w:rsidRDefault="00392EF1" w14:paraId="7D8ABB78" w14:textId="2ECBED50">
      <w:pPr>
        <w:pStyle w:val="Heading2"/>
        <w:rPr>
          <w:noProof/>
        </w:rPr>
      </w:pPr>
      <w:r>
        <w:t>U għalhekk hemm ir-riskju li t-tranżizzjoni enerġetika żżid id-differenzi soċjali u reġjonali, pereżempju, jekk il-Kummissjoni timplimenta kif ippjanat l-integrazzjoni tas-sistema tal-enerġija, l-iżvilupp tal-infrastruttura tal-idroġenu u l-promozzjoni tal-enerġiji lil hinn mill-kosta, għaliex b’hekk tkun qed tipprijoritizza kunċetti ċentralizzati għad-detriment tal-kunċetti deċentralizzati.</w:t>
      </w:r>
    </w:p>
    <w:p w:rsidRPr="00DC308B" w:rsidR="00392EF1" w:rsidP="00392EF1" w:rsidRDefault="00392EF1" w14:paraId="4E46F510" w14:textId="77777777"/>
    <w:p w:rsidRPr="00DC308B" w:rsidR="00392EF1" w:rsidP="008A5FF3" w:rsidRDefault="00392EF1" w14:paraId="13343411" w14:textId="1BC9C371">
      <w:pPr>
        <w:pStyle w:val="Heading2"/>
      </w:pPr>
      <w:r>
        <w:t>Fi kwalunkwe każ, l-iżvilupp parallel ta’ infrastrutturi ċentralizzati u deċentralizzati huwa problematiku u hemm riskju li jkun il-kawża ta’ investiment żbaljat. Pereżempju, hemm kompetizzjoni fl-użu bejn network nazzjonali tal-pipelines tal-idroġenu u l-espansjoni ta’ networks ta’ tisħin distrettwali, kif mitlub fil-Komunikazzjoni tal-Kummissjoni dwar il-valutazzjoni tal-NECP. Għal din ir-raġuni, il-KESE talab li jittieħdu deċiżjonijiet fundamentali adegwati – fl-interessi tas-sigurtà tal-investiment</w:t>
      </w:r>
      <w:r w:rsidRPr="00DC308B">
        <w:rPr>
          <w:sz w:val="24"/>
          <w:szCs w:val="24"/>
          <w:vertAlign w:val="superscript"/>
        </w:rPr>
        <w:footnoteReference w:id="6"/>
      </w:r>
      <w:r>
        <w:t>. Dawn huma wkoll ta’ importanza strateġika għas-suċċess tal-Unjoni tal-Enerġija, iżda mhumiex indirizzati fid-dokumenti diskussi hawnhekk.</w:t>
      </w:r>
    </w:p>
    <w:p w:rsidRPr="00DC308B" w:rsidR="00392EF1" w:rsidP="00392EF1" w:rsidRDefault="00392EF1" w14:paraId="54BE2E11" w14:textId="77777777"/>
    <w:p w:rsidRPr="00DC308B" w:rsidR="00392EF1" w:rsidP="008A5FF3" w:rsidRDefault="00392EF1" w14:paraId="2033907C" w14:textId="037B665D">
      <w:pPr>
        <w:pStyle w:val="Heading2"/>
      </w:pPr>
      <w:r>
        <w:t>Bħal fi kważi d-dokumenti kollha tal-Kummissjoni dwar il-politika tal-enerġija mfassla reċentement, id-diġitalizzazzjoni ma għandhiex rwol fir-rapport tal-Istat tal-Unjoni tal-Enerġija. Iżda d-diġitalizzazzjoni tiftaħ kunċetti interessanti bħall-grilji żgħar intelliġenti u s-swieq intelliġenti, il-mikrokummerċ, l-impjanti virtwali tal-enerġija, eċċ. Dawn kollha jistgħu jikkontribwixxu għal effiċjenza u prestazzjoni ogħla tas-suq intern tal-enerġija, inkluż billi jissaħħaħ ir-rwol tal-konsumaturi attivi. Il-Kummissjoni indirizzat dan fil-Qafas Strateġiku għall-Unjoni tal-Enerġija, għalkemm f’forma kemxejn imqassra</w:t>
      </w:r>
      <w:r w:rsidRPr="00DC308B" w:rsidR="00311BE2">
        <w:rPr>
          <w:sz w:val="24"/>
          <w:szCs w:val="24"/>
          <w:vertAlign w:val="superscript"/>
        </w:rPr>
        <w:footnoteReference w:id="7"/>
      </w:r>
      <w:r>
        <w:t>. Huwa inkomprensibbli li dan l-aspett jiġi injorat fir-rapport dwar l-Istat tal-Unjoni tal-Enerġija, speċjalment peress li l-użu tat-teknoloġiji diġitali għandu jiġi eżaminat bir-reqqa fir-rigward tal-utilità tagħhom u l-problemi etiċi possibbli, speċjalment fir-rigward tas-sovranità tad-data.</w:t>
      </w:r>
    </w:p>
    <w:p w:rsidRPr="00DC308B" w:rsidR="0087511F" w:rsidP="0087511F" w:rsidRDefault="0087511F" w14:paraId="7133C439" w14:textId="316624B9"/>
    <w:p w:rsidRPr="00DC308B" w:rsidR="000B2261" w:rsidP="0092523D" w:rsidRDefault="000B2261" w14:paraId="369B979D" w14:textId="3012A6FF">
      <w:pPr>
        <w:pStyle w:val="Heading2"/>
      </w:pPr>
      <w:r>
        <w:t>Fi kwalunkwe każ, għandu jiġi nnutat li d-diġitalizzazzjoni titfassal fl-interess tal-utent aħħari. Iċ-ċittadini għadhom qed jistennew servizzi mtejba minħabba ż-żieda fid-diġitalizzazzjoni, bħal pereżempju t-tibdil ta’ kuljum minn fornitur għal ieħor, il-feedback immedjat dwar miters difettużi jew mudelli ta’ użu suspettużi u proċeduri bla xkiel għall-konnessjoni tal-produzzjoni tagħhom man-network.</w:t>
      </w:r>
    </w:p>
    <w:p w:rsidRPr="00DC308B" w:rsidR="000B2261" w:rsidP="0087511F" w:rsidRDefault="000B2261" w14:paraId="7FE8AF83" w14:textId="77777777"/>
    <w:p w:rsidRPr="00DC308B" w:rsidR="0087511F" w:rsidP="00DC308B" w:rsidRDefault="00685417" w14:paraId="65E40740" w14:textId="222C885F">
      <w:pPr>
        <w:pStyle w:val="Heading1"/>
        <w:keepNext/>
        <w:rPr>
          <w:b/>
        </w:rPr>
      </w:pPr>
      <w:r>
        <w:rPr>
          <w:b/>
        </w:rPr>
        <w:t>Kummenti speċifiċi</w:t>
      </w:r>
    </w:p>
    <w:p w:rsidRPr="00DC308B" w:rsidR="00685417" w:rsidP="00DC308B" w:rsidRDefault="00685417" w14:paraId="217868C6" w14:textId="0201492D">
      <w:pPr>
        <w:keepNext/>
      </w:pPr>
    </w:p>
    <w:p w:rsidRPr="00DC308B" w:rsidR="00685417" w:rsidP="00DC308B" w:rsidRDefault="00685417" w14:paraId="4B1F923B" w14:textId="49D70717">
      <w:pPr>
        <w:keepNext/>
        <w:ind w:left="567"/>
        <w:rPr>
          <w:i/>
          <w:color w:val="000000" w:themeColor="text1"/>
        </w:rPr>
      </w:pPr>
      <w:r>
        <w:rPr>
          <w:i/>
          <w:color w:val="000000" w:themeColor="text1"/>
        </w:rPr>
        <w:t>Dwar il-kapitolu “Dekarbonizzazzjoni” fir-rapport dwar l-Istat tal-Unjoni tal-Enerġija</w:t>
      </w:r>
    </w:p>
    <w:p w:rsidRPr="00DC308B" w:rsidR="00685417" w:rsidP="00DC308B" w:rsidRDefault="00685417" w14:paraId="1539B655" w14:textId="77777777">
      <w:pPr>
        <w:keepNext/>
        <w:rPr>
          <w:color w:val="000000" w:themeColor="text1"/>
        </w:rPr>
      </w:pPr>
    </w:p>
    <w:p w:rsidRPr="00DC308B" w:rsidR="00685417" w:rsidP="00DC308B" w:rsidRDefault="00685417" w14:paraId="621486A3" w14:textId="1B25ADC8">
      <w:pPr>
        <w:pStyle w:val="Heading2"/>
      </w:pPr>
      <w:r>
        <w:t>Il-Kummissjoni ġustament tindika li hemm ħafna benefiċċji fl-użu tas-sorsi ta’ enerġija rinnovabbli. Il-kwistjoni ta’ min se jibbenefika minn dawn il-vantaġġi, madankollu, tiddependi b’mod kruċjali minn jekk it-tranżizzjoni enerġetika hijiex se titfassal b’mod deċentralizzat jew ċentralizzat</w:t>
      </w:r>
      <w:r w:rsidRPr="00DC308B">
        <w:rPr>
          <w:color w:val="000000" w:themeColor="text1"/>
          <w:sz w:val="24"/>
          <w:szCs w:val="24"/>
          <w:vertAlign w:val="superscript"/>
        </w:rPr>
        <w:footnoteReference w:id="8"/>
      </w:r>
      <w:r>
        <w:t>. Il-Kummissjoni ma ssemmix dan il-punt fir-rapport tagħha.</w:t>
      </w:r>
    </w:p>
    <w:p w:rsidRPr="00DC308B" w:rsidR="00685417" w:rsidP="00685417" w:rsidRDefault="00685417" w14:paraId="487DF80D" w14:textId="77777777"/>
    <w:p w:rsidRPr="00DC308B" w:rsidR="00685417" w:rsidP="00DC308B" w:rsidRDefault="00685417" w14:paraId="23A1E696" w14:textId="5937D2FF">
      <w:pPr>
        <w:pStyle w:val="Heading2"/>
        <w:keepNext/>
        <w:numPr>
          <w:ilvl w:val="0"/>
          <w:numId w:val="0"/>
        </w:numPr>
        <w:ind w:left="567" w:hanging="567"/>
        <w:rPr>
          <w:color w:val="000000" w:themeColor="text1"/>
        </w:rPr>
      </w:pPr>
      <w:r>
        <w:rPr>
          <w:i/>
          <w:color w:val="000000" w:themeColor="text1"/>
        </w:rPr>
        <w:tab/>
        <w:t>Dwar il-kapitolu “Is-sigurtà tal-enerġija” fir-rapport dwar l-Istat tal-Unjoni tal-Enerġija</w:t>
      </w:r>
    </w:p>
    <w:p w:rsidRPr="00DC308B" w:rsidR="00685417" w:rsidP="00DC308B" w:rsidRDefault="00685417" w14:paraId="1517D67F" w14:textId="77777777">
      <w:pPr>
        <w:keepNext/>
        <w:rPr>
          <w:color w:val="000000" w:themeColor="text1"/>
        </w:rPr>
      </w:pPr>
    </w:p>
    <w:p w:rsidRPr="00DC308B" w:rsidR="00685417" w:rsidP="00685417" w:rsidRDefault="00685417" w14:paraId="4E8C7CFC" w14:textId="569D5ABA">
      <w:pPr>
        <w:pStyle w:val="Heading2"/>
      </w:pPr>
      <w:r>
        <w:t>Il-Kummissjoni ġustament tagħti attenzjoni kbira lill-kwistjoni tas-sigurtà tal-provvista u, f’dan il-kuntest, lis-sigurtà tal-enerġija. Dan huwa dovut għall-fatt li l-importanza tagħha għall-ekonomija hija kbira ħafna. Minbarra l-kwistjoni klassika tad-dipendenza mill-importazzjonijiet, għandha tkun ikkunsidrata wkoll ir-reżiljenza għal attakki esterni, bħaċ-ċiberkriminalità. L-aħħar riżultati tar-riċerka</w:t>
      </w:r>
      <w:r w:rsidRPr="00DC308B" w:rsidR="00311BE2">
        <w:rPr>
          <w:color w:val="000000" w:themeColor="text1"/>
          <w:sz w:val="24"/>
          <w:szCs w:val="24"/>
          <w:vertAlign w:val="superscript"/>
        </w:rPr>
        <w:footnoteReference w:id="9"/>
      </w:r>
      <w:r>
        <w:t xml:space="preserve"> f’dan ir-rigward jiddikjaraw li: l-aħjar strateġija għal reżiljenza għolja hija li jissaħħu l-istrutturi deċentralizzati li għandhom kapaċità awtonoma. Il-Kummissjoni għandha tqis aktar dawn ir-riżultati.</w:t>
      </w:r>
    </w:p>
    <w:p w:rsidRPr="00DC308B" w:rsidR="00685417" w:rsidP="00685417" w:rsidRDefault="00685417" w14:paraId="7EA3A7E2" w14:textId="77777777"/>
    <w:p w:rsidRPr="00DC308B" w:rsidR="00685417" w:rsidP="00685417" w:rsidRDefault="00685417" w14:paraId="676C8F39" w14:textId="6AE89136">
      <w:pPr>
        <w:pStyle w:val="Heading2"/>
      </w:pPr>
      <w:r>
        <w:lastRenderedPageBreak/>
        <w:t>Huwa inkontestabbli li fil-futur l-idroġenu ekoloġiku se jagħti kontribut għal sistema ta’ enerġija Ewropea sigura. Il-KESE jirreferi għall-Opinjonijiet tiegħu dwar l-istrateġija għall-idroġenu</w:t>
      </w:r>
      <w:r w:rsidRPr="00DC308B" w:rsidR="000B2261">
        <w:rPr>
          <w:noProof/>
          <w:sz w:val="24"/>
          <w:szCs w:val="24"/>
          <w:vertAlign w:val="superscript"/>
        </w:rPr>
        <w:footnoteReference w:id="10"/>
      </w:r>
      <w:r>
        <w:t xml:space="preserve"> u l-istrateġija dwar l-integrazzjoni tas-sistema tal-enerġija</w:t>
      </w:r>
      <w:r w:rsidRPr="00DC308B" w:rsidR="000B2261">
        <w:rPr>
          <w:noProof/>
          <w:sz w:val="24"/>
          <w:szCs w:val="24"/>
          <w:vertAlign w:val="superscript"/>
        </w:rPr>
        <w:footnoteReference w:id="11"/>
      </w:r>
      <w:r>
        <w:t>.</w:t>
      </w:r>
    </w:p>
    <w:p w:rsidRPr="00DC308B" w:rsidR="00685417" w:rsidP="00685417" w:rsidRDefault="00685417" w14:paraId="6E29DFEE" w14:textId="6D468C06">
      <w:pPr>
        <w:rPr>
          <w:color w:val="000000" w:themeColor="text1"/>
        </w:rPr>
      </w:pPr>
    </w:p>
    <w:p w:rsidRPr="00DC308B" w:rsidR="0050749D" w:rsidP="00C146D8" w:rsidRDefault="0050749D" w14:paraId="4676B3FF" w14:textId="32788758">
      <w:pPr>
        <w:pStyle w:val="Heading2"/>
        <w:rPr>
          <w:color w:val="000000" w:themeColor="text1"/>
        </w:rPr>
      </w:pPr>
      <w:r>
        <w:t>Hawnhekk ukoll, m’għandniex naħsbu biss fuq skala kbira (inkluż l-iżvilupp ta’ infrastrutturi għall-importazzjoni tal-idroġenu). Hemm diversi soluzzjonijiet innovattivi, ekoloġiċi u fuq kollox reġjonali/lokali li jistgħu jiġu implimentati direttament fuq il-post (inkluża l-produzzjoni tal-idroġenu reġjonali jew e-fjuwils sintetiċi). Dan se jżid is-sigurtà tal-provvista, inaqqas id-dipendenza fuq l-importazzjoni u jippromovi l-impjiegi lokali fil-forma ta’ impjiegi ekoloġiċi u valur miżjud fir-reġjuni. Anke l-intrapriżi mikro, żgħar u ta’ daqs medju għandhom jingħataw l-opportunità biex jipparteċipaw fil-Patt Ekoloġiku u jibbenefikaw minnu. Dan iżid ukoll l-aċċettazzjoni tal-Patt Ekoloġiku u t-trasformazzjoni tal-enerġija.</w:t>
      </w:r>
    </w:p>
    <w:p w:rsidRPr="00DC308B" w:rsidR="0050749D" w:rsidP="00685417" w:rsidRDefault="0050749D" w14:paraId="23A67616" w14:textId="77777777">
      <w:pPr>
        <w:rPr>
          <w:color w:val="000000" w:themeColor="text1"/>
        </w:rPr>
      </w:pPr>
    </w:p>
    <w:p w:rsidRPr="00DC308B" w:rsidR="00685417" w:rsidP="00646DA7" w:rsidRDefault="00685417" w14:paraId="5780AE90" w14:textId="167F6ED1">
      <w:pPr>
        <w:pStyle w:val="Heading2"/>
        <w:keepNext/>
        <w:keepLines/>
        <w:numPr>
          <w:ilvl w:val="0"/>
          <w:numId w:val="0"/>
        </w:numPr>
        <w:ind w:left="567"/>
        <w:rPr>
          <w:color w:val="000000" w:themeColor="text1"/>
        </w:rPr>
      </w:pPr>
      <w:r>
        <w:rPr>
          <w:i/>
          <w:color w:val="000000" w:themeColor="text1"/>
        </w:rPr>
        <w:t>Dwar il-kapitolu dwar “Is-swieq interni tal-enerġija” fir-rapport dwar l-Istat tal-Unjoni tal-Enerġija u dwar ir-“Rapport ta’ progress dwar is-suq intern tal-enerġija”</w:t>
      </w:r>
    </w:p>
    <w:p w:rsidRPr="00DC308B" w:rsidR="00685417" w:rsidP="00646DA7" w:rsidRDefault="00685417" w14:paraId="7EB5A2F3" w14:textId="77777777">
      <w:pPr>
        <w:keepNext/>
        <w:keepLines/>
      </w:pPr>
    </w:p>
    <w:p w:rsidRPr="00DC308B" w:rsidR="00685417" w:rsidP="00646DA7" w:rsidRDefault="00685417" w14:paraId="19393FE9" w14:textId="66A6F5C7">
      <w:pPr>
        <w:pStyle w:val="Heading2"/>
        <w:keepNext/>
        <w:keepLines/>
      </w:pPr>
      <w:r>
        <w:t xml:space="preserve">Il-Kummissjoni tiddikjara li l-pakkett “Enerġija Nadifa” ħoloq kundizzjonijiet aħjar biex jinkoraġġixxi l-parteċipazzjoni tal-konsumatur fis-swieq tal-enerġija u biex joħloq kundizzjonijiet ekwi għall-parteċipanti ġodda fis-suq. Fil-fatt, id-dispożizzjonijiet tad-Direttiva dwar is-Suq Intern għall-Elettriku biss huma rilevanti f’dan ir-rigward. Għadu mhux possibbli li jiġi ddeterminat kemm kienet effettiva l-implimentazzjoni ta’ dawn id-dispożizzjonijiet mill-Istati Membri. Għalhekk, il-konklużjoni meħuda mill-Kummissjoni hija prematura. Il-KESE jappella b’mod urġenti għal valutazzjoni serja tal-mira importanti tal-parteċipazzjoni tal-konsumaturi – anke fir-rigward tal-effetti tal-politika ta’ distribuzzjoni f’termini tal-parteċipazzjoni ta’ unitajiet domestiċi bi dħul baxx ukoll. </w:t>
      </w:r>
    </w:p>
    <w:p w:rsidRPr="00DC308B" w:rsidR="00685417" w:rsidP="00685417" w:rsidRDefault="00685417" w14:paraId="44559C65" w14:textId="77777777"/>
    <w:p w:rsidRPr="00DC308B" w:rsidR="004E60D8" w:rsidP="00500770" w:rsidRDefault="00685417" w14:paraId="0CCF668F" w14:textId="070FAD7D">
      <w:pPr>
        <w:pStyle w:val="Heading2"/>
      </w:pPr>
      <w:r>
        <w:t>Il-Kummissjoni tenfasizza l-importanza tas-sinjali tal-prezzijiet tas-suq, inkluż għall-investituri. Dan huwa bla dubju aspett importanti. Madankollu, f’dan ir-rigward hija meħtieġa perspettiva aktar differenzjata. Il-maġġoranza tas-swieq tal-elettriku bl-ingrossa juru prezzijiet għal żmien qasir. Jekk dawn jagħtux sinjali lill-investituri f’suq liberalizzat hija kwistjoni kontroversjali fl-ekonomija tal-enerġija. Il-KESE diġà rrikonoxxa dan f’Opinjonijiet preċedenti</w:t>
      </w:r>
      <w:r w:rsidRPr="00DC308B">
        <w:rPr>
          <w:sz w:val="24"/>
          <w:szCs w:val="24"/>
          <w:vertAlign w:val="superscript"/>
        </w:rPr>
        <w:footnoteReference w:id="12"/>
      </w:r>
      <w:r>
        <w:t>. Fid-dawl ta’ dan, mhuwiex xieraq li l-Kummissjoni tuża t-terminu “suq intern tal-enerġija” b’mod mhux differenzjat f’dan il-kuntest. Sabiex l-Unjoni tal-Enerġija tkun ta’ suċċess, jeħtieġ li din titfassal mill-ġdid, tal-anqas fis-settur tal-elettriku. L-ibbilanċjar sħiħ tar-responsabbiltà għall-enerġija rinnovabbli biss mhux se jkun biżżejjed. Il-KESE jistieden għalhekk lill-Kummissjoni tippreżenta l-ideat tagħha għal tfassil ġdid tas-suq malajr kemm jista’ jkun. Huwa importanti li jiġi żgurat li l-parteċipanti kollha fis-suq isibu l-istess kundizzjonijiet fis-swieq tal-ibbilanċjar u tal-kontroll tal-enerġija. Dan huwa wkoll essenzjali għas-suċċess tal-integrazzjoni tas-sistema tal-enerġija</w:t>
      </w:r>
      <w:r w:rsidRPr="00DC308B" w:rsidR="00135E40">
        <w:rPr>
          <w:noProof/>
          <w:sz w:val="24"/>
          <w:szCs w:val="24"/>
          <w:vertAlign w:val="superscript"/>
        </w:rPr>
        <w:footnoteReference w:id="13"/>
      </w:r>
      <w:r>
        <w:t>.</w:t>
      </w:r>
    </w:p>
    <w:p w:rsidRPr="00DC308B" w:rsidR="004E60D8" w:rsidP="00C146D8" w:rsidRDefault="004E60D8" w14:paraId="2E5879A1" w14:textId="77777777"/>
    <w:p w:rsidRPr="00DC308B" w:rsidR="00685417" w:rsidP="00500770" w:rsidRDefault="000B2261" w14:paraId="235DA4DC" w14:textId="4EB83B7F">
      <w:pPr>
        <w:pStyle w:val="Heading2"/>
      </w:pPr>
      <w:r>
        <w:lastRenderedPageBreak/>
        <w:t>Fl-istess ħin, għandu jiġi mfakkar li l-għanijiet tas-sigurtà tal-provvista u l-kisba tan-newtralità klimatika ma jistgħux jintlaħqu permezz tas-sinjali tal-prezzijiet biss.</w:t>
      </w:r>
    </w:p>
    <w:p w:rsidRPr="00DC308B" w:rsidR="00685417" w:rsidP="00685417" w:rsidRDefault="00685417" w14:paraId="5A8A616A" w14:textId="77777777"/>
    <w:p w:rsidRPr="00DC308B" w:rsidR="00685417" w:rsidP="00500770" w:rsidRDefault="00685417" w14:paraId="09C80304" w14:textId="75B62E0F">
      <w:pPr>
        <w:pStyle w:val="Heading2"/>
        <w:rPr>
          <w:noProof/>
        </w:rPr>
      </w:pPr>
      <w:r>
        <w:t xml:space="preserve">Fir-rapport tal-progress dwar is-suq intern tal-enerġija, il-Kummissjoni ġustament tenfasizza li l-possibbiltà tal-kompetizzjoni fil-livell ta’ ġenerazzjoni u provvista għandha tibqa’ prijorità tal-politiki tal-enerġija nazzjonali u tal-UE. Iżda ma tispjegax b’mod konkret x’jinvolvi dan. Li jingħad li l-akkoppjament tas-suq biss jista’ jixpruna l-kompetizzjoni huwa żbaljat u ma jirriflettix il-liġi Ewropea kif stabbilita fil-pakkett dwar l-“Enerġija Nadifa”. Meta jiġu applikati l-prinċipji għall-allokazzjoni tal-kapaċità u l-ġestjoni tal-konġestjoni skont l-Artikolu 16 tar-Regolament dwar is-Suq tal-Elettriku, għandha titqies il-pożizzjoni ġeografika tal-Istati Membri, li tista’ tiġġustifika wkoll estensjoni tal-iskadenza għall-istabbiliment tal-kapaċità. Fi kwalunkwe każ, l-aċċess għas-suq huwa partikolarment importanti għal kompetizzjoni attiva, speċjalment għal atturi iżgħar. F’dan ir-rigward, id-diġitalizzazzjoni, fost l-oħrajn, qed tagħmel biċċa xogħol tajba. </w:t>
      </w:r>
    </w:p>
    <w:p w:rsidRPr="00DC308B" w:rsidR="00685417" w:rsidP="00685417" w:rsidRDefault="00685417" w14:paraId="1BB20C7F" w14:textId="77777777"/>
    <w:p w:rsidRPr="00DC308B" w:rsidR="00685417" w:rsidP="00500770" w:rsidRDefault="00685417" w14:paraId="18963609" w14:textId="46724D4D">
      <w:pPr>
        <w:pStyle w:val="Heading2"/>
        <w:rPr>
          <w:noProof/>
        </w:rPr>
      </w:pPr>
      <w:r>
        <w:t>Fir-rapport ta’ progress dwar is-suq intern tal-enerġija, il-Kummissjoni tiddikjara wkoll li sistemi termali bħal impjanti tal-enerġija b’ġenerazzjoni kkombinata tas-sħana u tal-elettriku jistgħu jagħtu lis-sistema flessibilità importanti, iżda mekkaniżmi ta’ kapaċità mfassla ħażin jistgħu joħolqu distorsjonijiet kbar fis-suq intern. Il-KESE jirreferi għall-pożizzjoni li esprima fl-Opinjoni tiegħu TEN/625 f’dan ir-rigward. Huwa jappella lill-Kummissjoni tevalwa b’mod kritiku l-mekkaniżmi tal-kapaċità li qegħdin fis-seħħ fl-Istati Membri, inkluż fir-rigward tal-konformità mar-rekwiżiti tal-Artikolu 22 tar-Regolament dwar is-Suq Intern tal-Elettriku, li fost l-oħrajn jinkludu l-limitu ta’ 550 g CO</w:t>
      </w:r>
      <w:r>
        <w:rPr>
          <w:vertAlign w:val="subscript"/>
        </w:rPr>
        <w:t>2</w:t>
      </w:r>
      <w:r>
        <w:t>/kWh.</w:t>
      </w:r>
    </w:p>
    <w:p w:rsidRPr="00DC308B" w:rsidR="00685417" w:rsidP="00685417" w:rsidRDefault="00685417" w14:paraId="55A3BF33" w14:textId="77777777"/>
    <w:p w:rsidRPr="00DC308B" w:rsidR="00685417" w:rsidP="00500770" w:rsidRDefault="00685417" w14:paraId="05EAEFC2" w14:textId="537C0A69">
      <w:pPr>
        <w:pStyle w:val="Heading2"/>
        <w:rPr>
          <w:noProof/>
        </w:rPr>
      </w:pPr>
      <w:r>
        <w:t>Fir-rapport ta’ progress dwar is-suq intern tal-enerġija, il-Kummissjoni tfakkar li l-operaturi tas-sistema ta’ trażmissjoni jew ta’ distribuzzjoni kienu esklużi b’mod ġenerali milli jkunu proprjetarji u milli joperaw sistemi ta’ ħżin tal-elettriku. Il-KESE laqa’ din id-deċiżjoni fil-prinċipju</w:t>
      </w:r>
      <w:r w:rsidRPr="00DC308B">
        <w:rPr>
          <w:noProof/>
          <w:sz w:val="24"/>
          <w:szCs w:val="24"/>
          <w:vertAlign w:val="superscript"/>
        </w:rPr>
        <w:footnoteReference w:id="14"/>
      </w:r>
      <w:r>
        <w:t>, li għandha tippermetti li l-operaturi tas-sistemi ta’ distribuzzjoni ikunu proprjetarji u joperaw sistemi ta’ ħżin tal-elettriku fl-interess tal-grilja. Jemmen ukoll li dan għandu jimxi id f’id mat-tisħiħ tas-swieq intelliġenti, sabiex l-operaturi tal-ħżin jkollhom inċentiv biex isegwu sinjali mill-operaturi tan-network u jiddisinjaw is-sistemi tal-ħżin tagħhom biex iservu s-sistema. L-operaturi tan-network jeħtieġu inċentivi adatti biex jibagħtu s-sinjali.</w:t>
      </w:r>
    </w:p>
    <w:p w:rsidRPr="00DC308B" w:rsidR="00685417" w:rsidP="00685417" w:rsidRDefault="00685417" w14:paraId="139350B0" w14:textId="0DE4B12D"/>
    <w:p w:rsidRPr="00DC308B" w:rsidR="00384DFA" w:rsidP="00C146D8" w:rsidRDefault="00384DFA" w14:paraId="196DD441" w14:textId="7A460097">
      <w:pPr>
        <w:pStyle w:val="Heading2"/>
      </w:pPr>
      <w:r>
        <w:t>In-networks ta’ distribuzzjoni għandhom rwol fundamentali fl-użu ta’ swieq intelliġenti u b’mod ġenerali fis-suċċess tat-tranżizzjoni tal-enerġija. Għalhekk, fil-futur il-politika tal-enerġija tal-UE trid tkun aktar iffukata fuq l-immodernizzar tagħhom.</w:t>
      </w:r>
    </w:p>
    <w:p w:rsidRPr="00DC308B" w:rsidR="00384DFA" w:rsidP="00685417" w:rsidRDefault="00384DFA" w14:paraId="22FED3A9" w14:textId="77777777"/>
    <w:p w:rsidRPr="00DC308B" w:rsidR="00685417" w:rsidP="00500770" w:rsidRDefault="00685417" w14:paraId="158B395F" w14:textId="3AA2F7DF">
      <w:pPr>
        <w:pStyle w:val="Heading2"/>
      </w:pPr>
      <w:r>
        <w:t>Il-KESE jaqbel mal-fehma tal-Kummissjoni li l-għan ewlieni tad-Direttiva dwar it-Tassazzjoni tal-Enerġija 2003/96/KE mhux se jibqa’ jintlaħaq. Għalhekk jappoġġja t-talba tal-Kummissjoni u jitlob reviżjoni ambizzjuża ta’ din id-Direttiva u mekkaniżmi oħra biex jitnaqqsu s-sussidji għall-fjuwils fossili u biex jiġu internalizzati l-ispejjeż esterni.</w:t>
      </w:r>
    </w:p>
    <w:p w:rsidRPr="00DC308B" w:rsidR="00685417" w:rsidP="00685417" w:rsidRDefault="00685417" w14:paraId="1924A54A" w14:textId="77777777"/>
    <w:p w:rsidRPr="00DC308B" w:rsidR="00685417" w:rsidP="00500770" w:rsidRDefault="00685417" w14:paraId="2DE5CF11" w14:textId="1B8EAD02">
      <w:pPr>
        <w:pStyle w:val="Heading2"/>
        <w:rPr>
          <w:noProof/>
        </w:rPr>
      </w:pPr>
      <w:r>
        <w:t xml:space="preserve">Il-KESE jenfasizza l-kwistjoni tal-faqar enerġetiku u jistieden lill-Kummissjoni tieħu miżuri speċifiċi li jmorru lil hinn mil-linji gwida astratti dwar id-definizzjoni u l-osservatorju. Il-KESE </w:t>
      </w:r>
      <w:r>
        <w:lastRenderedPageBreak/>
        <w:t>enfasizza f’diversi okkażjonijiet li parteċipazzjoni wiesgħa miċ-ċittadini fis-settur tal-enerġija hija waħda mid-diversi approċċi li jistgħu jgħinu f’dan ir-rigward.</w:t>
      </w:r>
    </w:p>
    <w:p w:rsidRPr="00DC308B" w:rsidR="00685417" w:rsidP="00685417" w:rsidRDefault="00685417" w14:paraId="5A825D5A" w14:textId="345177E9"/>
    <w:p w:rsidRPr="00DC308B" w:rsidR="00A67921" w:rsidP="0092523D" w:rsidRDefault="00A67921" w14:paraId="3472064E" w14:textId="74D3B7F6">
      <w:pPr>
        <w:pStyle w:val="Heading2"/>
      </w:pPr>
      <w:r>
        <w:t>F’dan il-kuntest, il-KESE jfakkar il-pożizzjoni tiegħu li soċjetà tal-enerġija fuq żewġ livelli għandha tiġi evitata akkost ta’ kollox. Mhuwiex aċċettabbli li familji mgħammra tajjeb finanzjarjament u teknikament biss jibbenefikaw mit-tranżizzjoni enerġetika u li l-familji l-oħra kollha jkollhom iġarrbu l-ispejjeż. Iċ-ċittadini affettwati mill-faqar enerġetiku ġeneralment ma jkunux l-aktar b’saħħithom mil-lat politiku. Għalhekk, jeħtieġ li l-Kummissjoni tagħmel aktar biex tiżgura li l-Istati Membri jistinkaw b’mod attiv sabiex jiġġieldu b’mod effettiv il-faqar enerġetiku: kemm il-mewġa intenzjonata tar-rinnovazzjoni tal-enerġija fil-bini kif ukoll l-involviment attiv taċ-ċittadini fil-produzzjoni tal-elettriku rinnovabbli jistgħu jgħinu biex jitnaqqas il-faqar enerġetiku. Għandu jiġi nnutat ukoll li l-estensjoni possibbli tal-iskambju tal-kwoti tal-emissjonijiet għas-setturi tat-tisħin u tat-trasport jista’ jkollha impatt fuq l-ekwità tad-distribuzzjoni.</w:t>
      </w:r>
    </w:p>
    <w:p w:rsidRPr="00DC308B" w:rsidR="00A67921" w:rsidP="00685417" w:rsidRDefault="00A67921" w14:paraId="5AA8EB9F" w14:textId="77777777"/>
    <w:p w:rsidRPr="00DC308B" w:rsidR="00685417" w:rsidP="00DC308B" w:rsidRDefault="00685417" w14:paraId="564429B9" w14:textId="71FB1348">
      <w:pPr>
        <w:keepNext/>
        <w:ind w:left="567"/>
        <w:rPr>
          <w:i/>
          <w:color w:val="000000" w:themeColor="text1"/>
        </w:rPr>
      </w:pPr>
      <w:r>
        <w:rPr>
          <w:i/>
          <w:color w:val="000000" w:themeColor="text1"/>
        </w:rPr>
        <w:t>Dwar il-kapitolu “Ir-riċerka u l-innovazzjoni u l-kompetittività” fir-rapport dwar l-Istat tal-Unjoni tal-Enerġija</w:t>
      </w:r>
    </w:p>
    <w:p w:rsidRPr="00DC308B" w:rsidR="00685417" w:rsidP="00DC308B" w:rsidRDefault="00685417" w14:paraId="10018ADB" w14:textId="77777777">
      <w:pPr>
        <w:keepNext/>
      </w:pPr>
    </w:p>
    <w:p w:rsidRPr="00DC308B" w:rsidR="00685417" w:rsidP="00500770" w:rsidRDefault="00685417" w14:paraId="2638B593" w14:textId="623CF80E">
      <w:pPr>
        <w:pStyle w:val="Heading2"/>
        <w:rPr>
          <w:noProof/>
        </w:rPr>
      </w:pPr>
      <w:r>
        <w:t>Il-KESE jibża’ li raġuni waħda għaliex l-UE għadha lura f’ċerti oqsma bħal batteriji solari u l-batteriji tal-joni tal-litju hija d-domanda insuffiċjenti. Il-KESE jitlob għalhekk lill-Kummissjoni tadotta strateġija usa’: l-UE teħtieġ inizjattivi ta’ politika industrijali attiva sabiex tkisser id-dominanza tas-suq taċ-Ċina. Il-proposta tal-Kummissjoni għal regolament dwar il-batteriji hija eżempju ta’ pass fid-direzzjoni t-tajba. Barra minn hekk, l-istrutturi deċentralizzati fis-sistema tal-enerġija futura għandhom jissaħħu. Dan jippermetti, pereżempju, żieda fid-domanda għall-batteriji, jiġġenera ekonomiji ta’ skala u l-prezz tal-batteriji jsir attraenti ħafna.</w:t>
      </w:r>
    </w:p>
    <w:p w:rsidRPr="00DC308B" w:rsidR="00685417" w:rsidP="00685417" w:rsidRDefault="00685417" w14:paraId="689A7CDA" w14:textId="77777777"/>
    <w:p w:rsidRPr="00DC308B" w:rsidR="00685417" w:rsidP="00646DA7" w:rsidRDefault="00685417" w14:paraId="09B496BC" w14:textId="37547AB0">
      <w:pPr>
        <w:pStyle w:val="Heading2"/>
        <w:keepNext/>
        <w:keepLines/>
        <w:numPr>
          <w:ilvl w:val="0"/>
          <w:numId w:val="0"/>
        </w:numPr>
        <w:ind w:left="567"/>
        <w:rPr>
          <w:i/>
          <w:color w:val="000000" w:themeColor="text1"/>
        </w:rPr>
      </w:pPr>
      <w:r>
        <w:rPr>
          <w:i/>
        </w:rPr>
        <w:t>Dwar il-kapitolu “L-Unjoni tal-Enerġija f’perspettiva usa’ tal-Patt Ekoloġiku” fir-rapport dwar l-Istat tal-Unjoni tal-Enerġija</w:t>
      </w:r>
    </w:p>
    <w:p w:rsidRPr="00DC308B" w:rsidR="00685417" w:rsidP="00646DA7" w:rsidRDefault="00685417" w14:paraId="70074E1C" w14:textId="77777777">
      <w:pPr>
        <w:keepNext/>
        <w:keepLines/>
      </w:pPr>
    </w:p>
    <w:p w:rsidRPr="00DC308B" w:rsidR="00685417" w:rsidP="00500770" w:rsidRDefault="00685417" w14:paraId="634C81A1" w14:textId="03F7D60C">
      <w:pPr>
        <w:pStyle w:val="Heading2"/>
        <w:rPr>
          <w:noProof/>
        </w:rPr>
      </w:pPr>
      <w:r>
        <w:t>Il-KESE jappoġġja lill-Kummissjoni fl-isforzi tagħha biex tippromovi ftehimiet ambizzjużi dwar it-tibdil fil-klima madwar id-dinja. Dan jirrikjedi li tiġi introdotta tariffa ta’ aġġustament fil-fruntiera marbuta ma’ kunsiderazzjoni aktar ambizzjuża u konkreta tal-protezzjoni tal-klima (u għanijiet oħra ta’ sostenibbiltà) fi ftehimiet kummerċjali internazzjonali</w:t>
      </w:r>
      <w:r w:rsidRPr="00DC308B">
        <w:rPr>
          <w:noProof/>
          <w:sz w:val="24"/>
          <w:szCs w:val="24"/>
          <w:vertAlign w:val="superscript"/>
        </w:rPr>
        <w:footnoteReference w:id="15"/>
      </w:r>
      <w:r>
        <w:t>.</w:t>
      </w:r>
    </w:p>
    <w:p w:rsidRPr="00DC308B" w:rsidR="00685417" w:rsidP="00685417" w:rsidRDefault="00685417" w14:paraId="0915E844" w14:textId="77777777"/>
    <w:p w:rsidRPr="00DC308B" w:rsidR="00685417" w:rsidP="00DC308B" w:rsidRDefault="00685417" w14:paraId="287C25F6" w14:textId="1EED327C">
      <w:pPr>
        <w:pStyle w:val="Heading2"/>
        <w:keepNext/>
        <w:numPr>
          <w:ilvl w:val="0"/>
          <w:numId w:val="0"/>
        </w:numPr>
        <w:ind w:left="567"/>
        <w:rPr>
          <w:i/>
          <w:color w:val="000000" w:themeColor="text1"/>
        </w:rPr>
      </w:pPr>
      <w:r>
        <w:rPr>
          <w:i/>
          <w:color w:val="000000" w:themeColor="text1"/>
        </w:rPr>
        <w:t>Dwar il-Komunikazzjoni dwar il-valutazzjoni tal-NECP</w:t>
      </w:r>
    </w:p>
    <w:p w:rsidRPr="00DC308B" w:rsidR="00685417" w:rsidP="00DC308B" w:rsidRDefault="00685417" w14:paraId="3DC91D1E" w14:textId="77777777">
      <w:pPr>
        <w:keepNext/>
      </w:pPr>
    </w:p>
    <w:p w:rsidRPr="00DC308B" w:rsidR="00685417" w:rsidP="00500770" w:rsidRDefault="00685417" w14:paraId="676EDE10" w14:textId="0CB6943E">
      <w:pPr>
        <w:pStyle w:val="Heading2"/>
        <w:rPr>
          <w:noProof/>
        </w:rPr>
      </w:pPr>
      <w:r>
        <w:t xml:space="preserve">Il-KESE ma jistax jifhem għaliex il-Kummissjoni qed tnaqqas il-kritika tagħha dwar il-valutazzjoni inadegwata tal-potenzjal tal-enerġija rinnovabbli għas-settur lil hinn mill-kosta. Jistieden lill-Kummissjoni biex tabbanduna l-preferenza tagħha stess għal teknoloġiji lil hinn mill-kosta għad-detriment tas-sistemi fotovoltajċi u l-enerġija mir-riħ fuq l-art u biex tistabbilixxi l-istrateġiji ta’ żvilupp proprji għal dawn it-tnejn tal-aħħar. </w:t>
      </w:r>
    </w:p>
    <w:p w:rsidRPr="00DC308B" w:rsidR="00685417" w:rsidP="00685417" w:rsidRDefault="00685417" w14:paraId="234A07AC" w14:textId="77777777"/>
    <w:p w:rsidRPr="00DC308B" w:rsidR="00685417" w:rsidP="00500770" w:rsidRDefault="00685417" w14:paraId="6A150EA0" w14:textId="4EC59E53">
      <w:pPr>
        <w:pStyle w:val="Heading2"/>
      </w:pPr>
      <w:r>
        <w:t>Il-KESE jinnota u jaqbel li l-Kummissjoni tirrikonoxxi l-potenzjal tas-sorsi ta’ enerġija rinnovabbli għall-ħolqien tal-impjiegi. Madankollu, huwa saħaq li l-isfruttament sħiħ ta’ dan il-</w:t>
      </w:r>
      <w:r>
        <w:lastRenderedPageBreak/>
        <w:t>potenzjal mhux se jkun awtomatiku, iżda se jirrikjedi politiki attivi, b’mod partikolari fir-rigward tal-kwalità tal-impjiegi. F’dan il-kuntest huwa kompletament inkomprensibbli li l-Kummissjoni ftit li xejn tagħti attenzjoni lis-sistemi fotovoltajċi, speċjalment meta, kif tistabbilixxi l-Komunikazzjoni, huwa s-settur li jirrikjedi l-aktar impjiegi.</w:t>
      </w:r>
    </w:p>
    <w:p w:rsidRPr="00DC308B" w:rsidR="00685417" w:rsidP="00685417" w:rsidRDefault="00685417" w14:paraId="44DEF25B" w14:textId="77777777"/>
    <w:p w:rsidRPr="00DC308B" w:rsidR="00685417" w:rsidP="00500770" w:rsidRDefault="00685417" w14:paraId="38046BEB" w14:textId="6B6188E1">
      <w:pPr>
        <w:pStyle w:val="Heading2"/>
      </w:pPr>
      <w:r>
        <w:t>Il-KESE jistieden lill-Kummissjoni, fir-reviżjoni li jmiss tad-Direttiva dwar is-Sorsi ta’ Enerġija Rinnovabbli, biex tabbozza r-regoli għall-offerti b’tali mod li tiġi ffaċilitata l-parteċipazzjoni tal-komunitajiet tal-enerġija rinnovabbli u l-SMEs.</w:t>
      </w:r>
    </w:p>
    <w:p w:rsidRPr="00DC308B" w:rsidR="00685417" w:rsidP="00685417" w:rsidRDefault="00685417" w14:paraId="1CACEE90" w14:textId="77777777"/>
    <w:p w:rsidRPr="00DC308B" w:rsidR="00685417" w:rsidP="00500770" w:rsidRDefault="00685417" w14:paraId="3148DC23" w14:textId="77777777">
      <w:pPr>
        <w:pStyle w:val="Heading2"/>
      </w:pPr>
      <w:r>
        <w:t>Il-KESE jaqbel mal-Kummissjoni li investimenti f’sistemi ta’ tisħin distrettwali b’temperatura baxxa huma meħtieġa b’mod urġenti. Għandha titnieda inizjattiva korrispondenti.</w:t>
      </w:r>
    </w:p>
    <w:p w:rsidRPr="00DC308B" w:rsidR="00685417" w:rsidP="00685417" w:rsidRDefault="00685417" w14:paraId="5331EBAD" w14:textId="77777777"/>
    <w:p w:rsidRPr="00DC308B" w:rsidR="00685417" w:rsidP="00500770" w:rsidRDefault="00685417" w14:paraId="3D2B3832" w14:textId="3F39BEB3">
      <w:pPr>
        <w:pStyle w:val="Heading2"/>
      </w:pPr>
      <w:r>
        <w:t>Il-bjar tas-CO2 huma strument importanti għall-protezzjoni tal-klima. Madankollu, it-tħassib dwar iż-żieda fid-disturbi naturali espress fl-NECPs tal-Istati Membri għandu jitqies b’mod serju. Għalhekk, il-krediti tal-LULUCF għandhom dejjem jitqiesu biss bħala komplementari għal għażliet oħra għall-protezzjoni tal-klima.</w:t>
      </w:r>
    </w:p>
    <w:p w:rsidR="00685417" w:rsidP="00685417" w:rsidRDefault="00685417" w14:paraId="0660F0E8" w14:textId="1ECD62CB"/>
    <w:p w:rsidR="00AB3327" w:rsidP="00AB3327" w:rsidRDefault="00AB3327" w14:paraId="45BADF80" w14:textId="044EA587">
      <w:pPr>
        <w:outlineLvl w:val="1"/>
      </w:pPr>
      <w:r>
        <w:t>Brussell, 24 ta’ Marzu 2021</w:t>
      </w:r>
    </w:p>
    <w:p w:rsidR="00AB3327" w:rsidP="00AB3327" w:rsidRDefault="00AB3327" w14:paraId="2D1D177B" w14:textId="77777777">
      <w:pPr>
        <w:outlineLvl w:val="1"/>
      </w:pPr>
    </w:p>
    <w:p w:rsidR="00AB3327" w:rsidP="00AB3327" w:rsidRDefault="00AB3327" w14:paraId="501A8553" w14:textId="3D66857E">
      <w:pPr>
        <w:outlineLvl w:val="1"/>
      </w:pPr>
    </w:p>
    <w:p w:rsidR="00851062" w:rsidP="00AB3327" w:rsidRDefault="00851062" w14:paraId="211C0B91" w14:textId="06A53EA9">
      <w:pPr>
        <w:outlineLvl w:val="1"/>
      </w:pPr>
    </w:p>
    <w:p w:rsidR="00851062" w:rsidP="00AB3327" w:rsidRDefault="00851062" w14:paraId="0C619903" w14:textId="77777777">
      <w:pPr>
        <w:outlineLvl w:val="1"/>
      </w:pPr>
    </w:p>
    <w:p w:rsidRPr="001A281B" w:rsidR="00267FEF" w:rsidP="00AB3327" w:rsidRDefault="00482A20" w14:paraId="5F941438" w14:textId="35AE1939">
      <w:pPr>
        <w:outlineLvl w:val="1"/>
      </w:pPr>
      <w:r>
        <w:t>Christa SCHWENG</w:t>
      </w:r>
    </w:p>
    <w:p w:rsidRPr="00CA4297" w:rsidR="00AB3327" w:rsidP="00AB3327" w:rsidRDefault="00482A20" w14:paraId="6B9A2D25" w14:textId="29261795">
      <w:r>
        <w:rPr>
          <w:color w:val="333333"/>
          <w:shd w:val="clear" w:color="auto" w:fill="FFFFFF"/>
        </w:rPr>
        <w:t>Il-President tal-Kumitat Ekonomiku u Soċjali Ewropew</w:t>
      </w:r>
    </w:p>
    <w:p w:rsidRPr="00DC308B" w:rsidR="00646AC2" w:rsidP="00BC3F01" w:rsidRDefault="00646AC2" w14:paraId="5B3BE5E5" w14:textId="77777777">
      <w:pPr>
        <w:jc w:val="center"/>
      </w:pPr>
      <w:r>
        <w:t>_____________</w:t>
      </w:r>
    </w:p>
    <w:sectPr w:rsidRPr="00DC308B" w:rsidR="00646AC2" w:rsidSect="002561C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39" w:code="9"/>
      <w:pgMar w:top="1417" w:right="1417" w:bottom="1417" w:left="1417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7763E7" w14:textId="77777777" w:rsidR="00395D5B" w:rsidRDefault="00395D5B">
      <w:r>
        <w:separator/>
      </w:r>
    </w:p>
  </w:endnote>
  <w:endnote w:type="continuationSeparator" w:id="0">
    <w:p w14:paraId="7E031B62" w14:textId="77777777" w:rsidR="00395D5B" w:rsidRDefault="00395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F638AF" w14:textId="05A0CB34" w:rsidR="00024C5A" w:rsidRPr="002561CA" w:rsidRDefault="002561CA" w:rsidP="002561CA">
    <w:pPr>
      <w:pStyle w:val="Footer"/>
    </w:pPr>
    <w:r>
      <w:t xml:space="preserve">TEN/724 – EESC-2020-04915-00-01-AC-TRA (EN) </w:t>
    </w:r>
    <w:r>
      <w:fldChar w:fldCharType="begin"/>
    </w:r>
    <w:r>
      <w:instrText xml:space="preserve"> PAGE  \* Arabic  \* MERGEFORMAT </w:instrText>
    </w:r>
    <w:r>
      <w:fldChar w:fldCharType="separate"/>
    </w:r>
    <w:r w:rsidR="00567EFB">
      <w:rPr>
        <w:noProof/>
      </w:rPr>
      <w:t>1</w:t>
    </w:r>
    <w:r>
      <w:fldChar w:fldCharType="end"/>
    </w:r>
    <w:r>
      <w:t>/</w:t>
    </w:r>
    <w:fldSimple w:instr=" NUMPAGES ">
      <w:r w:rsidR="00567EFB">
        <w:rPr>
          <w:noProof/>
        </w:rPr>
        <w:t>14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69B036" w14:textId="77777777" w:rsidR="00024C5A" w:rsidRPr="002561CA" w:rsidRDefault="00024C5A" w:rsidP="002561C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D922F6" w14:textId="26677D1C" w:rsidR="00024C5A" w:rsidRPr="002561CA" w:rsidRDefault="002561CA" w:rsidP="002561CA">
    <w:pPr>
      <w:pStyle w:val="Footer"/>
    </w:pPr>
    <w:r>
      <w:t xml:space="preserve">TEN/724 – EESC-2020-04915-00-01-AC-TRA (EN) </w:t>
    </w:r>
    <w:r>
      <w:fldChar w:fldCharType="begin"/>
    </w:r>
    <w:r>
      <w:instrText xml:space="preserve"> PAGE  \* Arabic  \* MERGEFORMAT </w:instrText>
    </w:r>
    <w:r>
      <w:fldChar w:fldCharType="separate"/>
    </w:r>
    <w:r w:rsidR="00567EFB">
      <w:rPr>
        <w:noProof/>
      </w:rPr>
      <w:t>14</w:t>
    </w:r>
    <w:r>
      <w:fldChar w:fldCharType="end"/>
    </w:r>
    <w:r>
      <w:t>/</w:t>
    </w:r>
    <w:fldSimple w:instr=" NUMPAGES ">
      <w:r w:rsidR="00567EFB">
        <w:rPr>
          <w:noProof/>
        </w:rPr>
        <w:t>14</w:t>
      </w:r>
    </w:fldSimple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78BD64" w14:textId="77777777" w:rsidR="00024C5A" w:rsidRPr="002561CA" w:rsidRDefault="00024C5A" w:rsidP="002561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529C08" w14:textId="77777777" w:rsidR="00395D5B" w:rsidRDefault="00395D5B">
      <w:r>
        <w:separator/>
      </w:r>
    </w:p>
  </w:footnote>
  <w:footnote w:type="continuationSeparator" w:id="0">
    <w:p w14:paraId="54F1CA9C" w14:textId="77777777" w:rsidR="00395D5B" w:rsidRDefault="00395D5B">
      <w:r>
        <w:continuationSeparator/>
      </w:r>
    </w:p>
  </w:footnote>
  <w:footnote w:id="1">
    <w:p w14:paraId="52DB30A6" w14:textId="63658433" w:rsidR="00024C5A" w:rsidRPr="00DF21DA" w:rsidRDefault="00024C5A">
      <w:pPr>
        <w:pStyle w:val="FootnoteText"/>
      </w:pPr>
      <w:r>
        <w:rPr>
          <w:sz w:val="24"/>
          <w:szCs w:val="24"/>
          <w:vertAlign w:val="superscript"/>
        </w:rPr>
        <w:footnoteRef/>
      </w:r>
      <w:r>
        <w:tab/>
      </w:r>
      <w:hyperlink r:id="rId1" w:history="1">
        <w:r>
          <w:rPr>
            <w:rStyle w:val="Hyperlink"/>
          </w:rPr>
          <w:t>COM(2015) 80 final</w:t>
        </w:r>
      </w:hyperlink>
      <w:r>
        <w:t>.</w:t>
      </w:r>
    </w:p>
  </w:footnote>
  <w:footnote w:id="2">
    <w:p w14:paraId="69D68615" w14:textId="11E16266" w:rsidR="00024C5A" w:rsidRPr="00CA11FD" w:rsidRDefault="00024C5A">
      <w:pPr>
        <w:pStyle w:val="FootnoteText"/>
      </w:pPr>
      <w:r>
        <w:rPr>
          <w:sz w:val="24"/>
          <w:szCs w:val="24"/>
          <w:vertAlign w:val="superscript"/>
        </w:rPr>
        <w:footnoteRef/>
      </w:r>
      <w:r>
        <w:tab/>
      </w:r>
      <w:hyperlink r:id="rId2" w:history="1">
        <w:r>
          <w:rPr>
            <w:rStyle w:val="Hyperlink"/>
          </w:rPr>
          <w:t>COM(2020) 950 final – Anness 2</w:t>
        </w:r>
      </w:hyperlink>
      <w:r>
        <w:t>.</w:t>
      </w:r>
    </w:p>
  </w:footnote>
  <w:footnote w:id="3">
    <w:p w14:paraId="1AE824D7" w14:textId="7403A7F0" w:rsidR="00024C5A" w:rsidRPr="009604B4" w:rsidRDefault="00024C5A" w:rsidP="00DF21DA">
      <w:pPr>
        <w:pStyle w:val="FootnoteText"/>
      </w:pPr>
      <w:r>
        <w:footnoteRef/>
      </w:r>
      <w:r>
        <w:tab/>
        <w:t>Dak li huwa sorprendenti huwa l-fatt li l-ħtieġa li jiġu eliminati s-sussidji li jagħmlu ħsara lill-ambjent fl-UE ilha tiġi diskussa għal aktar minn 30 sena.</w:t>
      </w:r>
    </w:p>
  </w:footnote>
  <w:footnote w:id="4">
    <w:p w14:paraId="0AD2F20D" w14:textId="20ECBCC5" w:rsidR="00024C5A" w:rsidRPr="00C879CB" w:rsidRDefault="00024C5A" w:rsidP="00392EF1">
      <w:pPr>
        <w:pStyle w:val="FootnoteText"/>
      </w:pPr>
      <w:r>
        <w:rPr>
          <w:sz w:val="24"/>
          <w:szCs w:val="24"/>
          <w:vertAlign w:val="superscript"/>
        </w:rPr>
        <w:footnoteRef/>
      </w:r>
      <w:r>
        <w:tab/>
        <w:t>U l-Presidenza Ġermaniża tal-Kunsill.</w:t>
      </w:r>
    </w:p>
  </w:footnote>
  <w:footnote w:id="5">
    <w:p w14:paraId="599C8B67" w14:textId="46E239DB" w:rsidR="00024C5A" w:rsidRDefault="00024C5A" w:rsidP="00392EF1">
      <w:pPr>
        <w:pStyle w:val="FootnoteText"/>
      </w:pPr>
      <w:r>
        <w:rPr>
          <w:sz w:val="24"/>
          <w:szCs w:val="24"/>
          <w:vertAlign w:val="superscript"/>
        </w:rPr>
        <w:footnoteRef/>
      </w:r>
      <w:r>
        <w:tab/>
      </w:r>
      <w:hyperlink r:id="rId3" w:history="1">
        <w:r>
          <w:rPr>
            <w:rStyle w:val="Hyperlink"/>
          </w:rPr>
          <w:t>ĠU C 47, 11.2.2020, p. 30</w:t>
        </w:r>
      </w:hyperlink>
      <w:r>
        <w:t xml:space="preserve">, </w:t>
      </w:r>
      <w:hyperlink r:id="rId4" w:history="1">
        <w:r>
          <w:rPr>
            <w:rStyle w:val="Hyperlink"/>
          </w:rPr>
          <w:t>ĠU C 62, 15.2.2019, p. 269</w:t>
        </w:r>
      </w:hyperlink>
      <w:r>
        <w:t>.</w:t>
      </w:r>
    </w:p>
  </w:footnote>
  <w:footnote w:id="6">
    <w:p w14:paraId="659CCE79" w14:textId="76C2E3F6" w:rsidR="00024C5A" w:rsidRDefault="00024C5A" w:rsidP="009604B4">
      <w:pPr>
        <w:pStyle w:val="FootnoteText"/>
        <w:keepLines w:val="0"/>
      </w:pPr>
      <w:r>
        <w:rPr>
          <w:sz w:val="24"/>
          <w:szCs w:val="24"/>
          <w:vertAlign w:val="superscript"/>
        </w:rPr>
        <w:footnoteRef/>
      </w:r>
      <w:r>
        <w:t xml:space="preserve"> </w:t>
      </w:r>
      <w:r>
        <w:tab/>
      </w:r>
      <w:hyperlink r:id="rId5" w:history="1">
        <w:r>
          <w:rPr>
            <w:rStyle w:val="Hyperlink"/>
          </w:rPr>
          <w:t>ĠU C 429, 11.12.2020, p. 85</w:t>
        </w:r>
      </w:hyperlink>
      <w:r>
        <w:t>.</w:t>
      </w:r>
    </w:p>
  </w:footnote>
  <w:footnote w:id="7">
    <w:p w14:paraId="2D5D8D92" w14:textId="6127B118" w:rsidR="00311BE2" w:rsidRDefault="00311BE2" w:rsidP="009604B4">
      <w:pPr>
        <w:pStyle w:val="FootnoteText"/>
        <w:keepLines w:val="0"/>
      </w:pPr>
      <w:r>
        <w:rPr>
          <w:sz w:val="24"/>
          <w:szCs w:val="24"/>
          <w:vertAlign w:val="superscript"/>
        </w:rPr>
        <w:footnoteRef/>
      </w:r>
      <w:r>
        <w:tab/>
      </w:r>
      <w:hyperlink r:id="rId6" w:history="1">
        <w:r>
          <w:rPr>
            <w:rStyle w:val="Hyperlink"/>
          </w:rPr>
          <w:t>COM(2015) 80 final, p. 13.</w:t>
        </w:r>
      </w:hyperlink>
    </w:p>
  </w:footnote>
  <w:footnote w:id="8">
    <w:p w14:paraId="3E17A2AB" w14:textId="4AC1D091" w:rsidR="00024C5A" w:rsidRDefault="00024C5A" w:rsidP="009604B4">
      <w:pPr>
        <w:pStyle w:val="FootnoteText"/>
        <w:keepLines w:val="0"/>
      </w:pPr>
      <w:r>
        <w:rPr>
          <w:sz w:val="24"/>
          <w:szCs w:val="24"/>
          <w:vertAlign w:val="superscript"/>
        </w:rPr>
        <w:footnoteRef/>
      </w:r>
      <w:r>
        <w:t xml:space="preserve"> </w:t>
      </w:r>
      <w:r>
        <w:tab/>
      </w:r>
      <w:hyperlink r:id="rId7" w:history="1">
        <w:r>
          <w:rPr>
            <w:rStyle w:val="Hyperlink"/>
          </w:rPr>
          <w:t>ĠU C 429, 11.12.2020, p. 85</w:t>
        </w:r>
      </w:hyperlink>
      <w:r>
        <w:t>.</w:t>
      </w:r>
    </w:p>
  </w:footnote>
  <w:footnote w:id="9">
    <w:p w14:paraId="3F4602BC" w14:textId="086B2545" w:rsidR="00311BE2" w:rsidRDefault="00311BE2" w:rsidP="00311BE2">
      <w:pPr>
        <w:ind w:left="567" w:hanging="567"/>
      </w:pPr>
      <w:r>
        <w:rPr>
          <w:sz w:val="24"/>
          <w:szCs w:val="24"/>
          <w:vertAlign w:val="superscript"/>
        </w:rPr>
        <w:footnoteRef/>
      </w:r>
      <w:r>
        <w:tab/>
        <w:t>Ara Hirschl, B., Aretz, A., Bost, M., Tapia, M., u Gößling-Reisemann, S. (2018): Vulnerabilität und Resilienz des digitalen Stromsystems. Schlussbericht. (Il-vulnerabbiltà u r-reżiljenza tas-sistema tal-enerġija diġitali. Rapport finali. – mhux disponibbli bil-Malti)</w:t>
      </w:r>
      <w:r>
        <w:rPr>
          <w:sz w:val="16"/>
        </w:rPr>
        <w:t xml:space="preserve"> </w:t>
      </w:r>
      <w:r>
        <w:t>Berlin, Bremen, disponibbli hawnhekk:</w:t>
      </w:r>
      <w:r>
        <w:rPr>
          <w:sz w:val="16"/>
        </w:rPr>
        <w:t xml:space="preserve"> </w:t>
      </w:r>
      <w:hyperlink r:id="rId8" w:history="1">
        <w:r>
          <w:rPr>
            <w:rStyle w:val="Hyperlink"/>
            <w:sz w:val="16"/>
          </w:rPr>
          <w:t>www.strom-resilienz.de</w:t>
        </w:r>
      </w:hyperlink>
    </w:p>
  </w:footnote>
  <w:footnote w:id="10">
    <w:p w14:paraId="37AA1ADA" w14:textId="62F7D6C0" w:rsidR="000B2261" w:rsidRDefault="000B2261" w:rsidP="000B2261">
      <w:pPr>
        <w:pStyle w:val="FootnoteText"/>
      </w:pPr>
      <w:r>
        <w:rPr>
          <w:sz w:val="24"/>
          <w:szCs w:val="24"/>
          <w:vertAlign w:val="superscript"/>
        </w:rPr>
        <w:footnoteRef/>
      </w:r>
      <w:r>
        <w:t xml:space="preserve"> </w:t>
      </w:r>
      <w:r>
        <w:tab/>
      </w:r>
      <w:hyperlink r:id="rId9" w:history="1">
        <w:r>
          <w:rPr>
            <w:rStyle w:val="Hyperlink"/>
          </w:rPr>
          <w:t>ĠU C 123, 9.4.2021, p. 30</w:t>
        </w:r>
      </w:hyperlink>
    </w:p>
  </w:footnote>
  <w:footnote w:id="11">
    <w:p w14:paraId="13D4EF52" w14:textId="6430A19A" w:rsidR="000B2261" w:rsidRDefault="000B2261" w:rsidP="000B2261">
      <w:pPr>
        <w:pStyle w:val="FootnoteText"/>
      </w:pPr>
      <w:r>
        <w:rPr>
          <w:sz w:val="24"/>
          <w:szCs w:val="24"/>
          <w:vertAlign w:val="superscript"/>
        </w:rPr>
        <w:footnoteRef/>
      </w:r>
      <w:r>
        <w:t xml:space="preserve"> </w:t>
      </w:r>
      <w:r>
        <w:tab/>
      </w:r>
      <w:hyperlink r:id="rId10" w:history="1">
        <w:r>
          <w:rPr>
            <w:rStyle w:val="Hyperlink"/>
          </w:rPr>
          <w:t>ĠU C 123, 9.4.2021, p. 22</w:t>
        </w:r>
      </w:hyperlink>
    </w:p>
  </w:footnote>
  <w:footnote w:id="12">
    <w:p w14:paraId="491E1C95" w14:textId="1E933435" w:rsidR="00024C5A" w:rsidRDefault="00024C5A" w:rsidP="00685417">
      <w:pPr>
        <w:pStyle w:val="FootnoteText"/>
      </w:pPr>
      <w:r>
        <w:rPr>
          <w:sz w:val="24"/>
          <w:szCs w:val="24"/>
          <w:vertAlign w:val="superscript"/>
        </w:rPr>
        <w:footnoteRef/>
      </w:r>
      <w:r>
        <w:t xml:space="preserve"> </w:t>
      </w:r>
      <w:r>
        <w:tab/>
      </w:r>
      <w:hyperlink r:id="rId11" w:history="1">
        <w:r>
          <w:rPr>
            <w:rStyle w:val="Hyperlink"/>
          </w:rPr>
          <w:t>ĠU C 82, 3.3.2016, p. 13</w:t>
        </w:r>
      </w:hyperlink>
      <w:r>
        <w:t>.</w:t>
      </w:r>
    </w:p>
  </w:footnote>
  <w:footnote w:id="13">
    <w:p w14:paraId="288B3287" w14:textId="01145047" w:rsidR="00135E40" w:rsidRDefault="00135E40" w:rsidP="00135E40">
      <w:pPr>
        <w:pStyle w:val="FootnoteText"/>
      </w:pPr>
      <w:r>
        <w:rPr>
          <w:sz w:val="24"/>
          <w:szCs w:val="24"/>
          <w:vertAlign w:val="superscript"/>
        </w:rPr>
        <w:footnoteRef/>
      </w:r>
      <w:r>
        <w:t xml:space="preserve"> </w:t>
      </w:r>
      <w:r>
        <w:tab/>
      </w:r>
      <w:hyperlink r:id="rId12" w:history="1">
        <w:r>
          <w:rPr>
            <w:rStyle w:val="Hyperlink"/>
          </w:rPr>
          <w:t>ĠU C 364, 28.10.2020, p. 158</w:t>
        </w:r>
      </w:hyperlink>
      <w:r>
        <w:t>.</w:t>
      </w:r>
    </w:p>
  </w:footnote>
  <w:footnote w:id="14">
    <w:p w14:paraId="5632850A" w14:textId="03585AAF" w:rsidR="00024C5A" w:rsidRDefault="00024C5A" w:rsidP="00685417">
      <w:pPr>
        <w:pStyle w:val="FootnoteText"/>
      </w:pPr>
      <w:r>
        <w:rPr>
          <w:sz w:val="24"/>
          <w:szCs w:val="24"/>
          <w:vertAlign w:val="superscript"/>
        </w:rPr>
        <w:footnoteRef/>
      </w:r>
      <w:r>
        <w:t xml:space="preserve"> </w:t>
      </w:r>
      <w:r>
        <w:tab/>
      </w:r>
      <w:hyperlink r:id="rId13" w:history="1">
        <w:r>
          <w:rPr>
            <w:rStyle w:val="Hyperlink"/>
          </w:rPr>
          <w:t>ĠU C 288, 31.8.2017, p. 91</w:t>
        </w:r>
      </w:hyperlink>
      <w:r>
        <w:t>.</w:t>
      </w:r>
    </w:p>
  </w:footnote>
  <w:footnote w:id="15">
    <w:p w14:paraId="6B26B08A" w14:textId="6F9BA977" w:rsidR="00024C5A" w:rsidRDefault="00024C5A" w:rsidP="00685417">
      <w:pPr>
        <w:pStyle w:val="FootnoteText"/>
      </w:pPr>
      <w:r>
        <w:rPr>
          <w:sz w:val="24"/>
          <w:szCs w:val="24"/>
          <w:vertAlign w:val="superscript"/>
        </w:rPr>
        <w:footnoteRef/>
      </w:r>
      <w:r>
        <w:t xml:space="preserve"> </w:t>
      </w:r>
      <w:r>
        <w:tab/>
      </w:r>
      <w:hyperlink r:id="rId14" w:history="1">
        <w:r>
          <w:rPr>
            <w:rStyle w:val="Hyperlink"/>
          </w:rPr>
          <w:t>ĠU C 81, 2.3.2018, p. 44</w:t>
        </w:r>
      </w:hyperlink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F9BF8A" w14:textId="77777777" w:rsidR="00024C5A" w:rsidRPr="002561CA" w:rsidRDefault="00024C5A" w:rsidP="002561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CADC93" w14:textId="404C972D" w:rsidR="00024C5A" w:rsidRPr="002561CA" w:rsidRDefault="00024C5A" w:rsidP="002561C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8D5EF5" w14:textId="77777777" w:rsidR="00024C5A" w:rsidRPr="002561CA" w:rsidRDefault="00024C5A" w:rsidP="002561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DB9204DE"/>
    <w:lvl w:ilvl="0">
      <w:start w:val="1"/>
      <w:numFmt w:val="decimal"/>
      <w:pStyle w:val="Heading1"/>
      <w:lvlText w:val="%1."/>
      <w:legacy w:legacy="1" w:legacySpace="0" w:legacyIndent="0"/>
      <w:lvlJc w:val="left"/>
      <w:rPr>
        <w:b w:val="0"/>
      </w:rPr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40A31F6"/>
    <w:multiLevelType w:val="hybridMultilevel"/>
    <w:tmpl w:val="2EFE12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C6780"/>
    <w:multiLevelType w:val="hybridMultilevel"/>
    <w:tmpl w:val="C526BE86"/>
    <w:lvl w:ilvl="0" w:tplc="5FB4F672">
      <w:start w:val="1"/>
      <w:numFmt w:val="bullet"/>
      <w:lvlRestart w:val="0"/>
      <w:lvlText w:val="-"/>
      <w:lvlJc w:val="left"/>
      <w:pPr>
        <w:tabs>
          <w:tab w:val="num" w:pos="0"/>
        </w:tabs>
        <w:ind w:left="283" w:hanging="283"/>
      </w:pPr>
      <w:rPr>
        <w:rFonts w:ascii="Symbol" w:hAnsi="Symbol"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6309EC"/>
    <w:multiLevelType w:val="hybridMultilevel"/>
    <w:tmpl w:val="AA249784"/>
    <w:lvl w:ilvl="0" w:tplc="BC524D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C9478E"/>
    <w:multiLevelType w:val="hybridMultilevel"/>
    <w:tmpl w:val="C4B25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D12A28"/>
    <w:multiLevelType w:val="hybridMultilevel"/>
    <w:tmpl w:val="E7E4A37C"/>
    <w:lvl w:ilvl="0" w:tplc="826E46E4">
      <w:numFmt w:val="bullet"/>
      <w:lvlText w:val="-"/>
      <w:lvlJc w:val="left"/>
      <w:pPr>
        <w:ind w:left="927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71F74F6E"/>
    <w:multiLevelType w:val="hybridMultilevel"/>
    <w:tmpl w:val="E78CA492"/>
    <w:lvl w:ilvl="0" w:tplc="040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79297113"/>
    <w:multiLevelType w:val="hybridMultilevel"/>
    <w:tmpl w:val="B308E75A"/>
    <w:lvl w:ilvl="0" w:tplc="040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7E8162D4"/>
    <w:multiLevelType w:val="hybridMultilevel"/>
    <w:tmpl w:val="57001F5E"/>
    <w:lvl w:ilvl="0" w:tplc="BC524D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1"/>
  </w:num>
  <w:num w:numId="5">
    <w:abstractNumId w:val="4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8"/>
  </w:num>
  <w:num w:numId="43">
    <w:abstractNumId w:val="3"/>
  </w:num>
  <w:num w:numId="44">
    <w:abstractNumId w:val="5"/>
  </w:num>
  <w:num w:numId="4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hideSpellingErrors/>
  <w:hideGrammaticalErrors/>
  <w:activeWritingStyle w:lang="de-DE" w:vendorID="64" w:dllVersion="131078" w:nlCheck="1" w:checkStyle="0" w:appName="MSWord"/>
  <w:activeWritingStyle w:lang="nl-BE" w:vendorID="64" w:dllVersion="131078" w:nlCheck="1" w:checkStyle="0" w:appName="MSWord"/>
  <w:activeWritingStyle w:lang="en-US" w:vendorID="64" w:dllVersion="131078" w:nlCheck="1" w:checkStyle="0" w:appName="MSWord"/>
  <w:activeWritingStyle w:lang="en-GB" w:vendorID="64" w:dllVersion="131078" w:nlCheck="1" w:checkStyle="0" w:appName="MSWord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567"/>
  <w:hyphenationZone w:val="425"/>
  <w:doNotHyphenateCaps/>
  <w:drawingGridHorizontalSpacing w:val="110"/>
  <w:drawingGridVerticalSpacing w:val="299"/>
  <w:displayHorizontalDrawingGridEvery w:val="2"/>
  <w:displayVerticalDrawingGridEvery w:val="0"/>
  <w:noPunctuationKerning/>
  <w:characterSpacingControl w:val="doNotCompress"/>
  <w:doNotValidateAgainstSchema/>
  <w:doNotDemarcateInvalidXml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F8F"/>
    <w:rsid w:val="000000A2"/>
    <w:rsid w:val="00005AB9"/>
    <w:rsid w:val="00005EB9"/>
    <w:rsid w:val="00006E24"/>
    <w:rsid w:val="00007A40"/>
    <w:rsid w:val="00011D33"/>
    <w:rsid w:val="00013EA3"/>
    <w:rsid w:val="00020E6E"/>
    <w:rsid w:val="00024C5A"/>
    <w:rsid w:val="00031A4B"/>
    <w:rsid w:val="00033913"/>
    <w:rsid w:val="00033E5B"/>
    <w:rsid w:val="0003436F"/>
    <w:rsid w:val="000357A8"/>
    <w:rsid w:val="000420B3"/>
    <w:rsid w:val="000430A6"/>
    <w:rsid w:val="00044923"/>
    <w:rsid w:val="0005249C"/>
    <w:rsid w:val="000534A5"/>
    <w:rsid w:val="0005680D"/>
    <w:rsid w:val="00063FB4"/>
    <w:rsid w:val="00064D59"/>
    <w:rsid w:val="0006505E"/>
    <w:rsid w:val="0006510E"/>
    <w:rsid w:val="0006793E"/>
    <w:rsid w:val="00070F4A"/>
    <w:rsid w:val="00072E0F"/>
    <w:rsid w:val="000735E5"/>
    <w:rsid w:val="0007392F"/>
    <w:rsid w:val="00076AC1"/>
    <w:rsid w:val="00087B39"/>
    <w:rsid w:val="00093F6C"/>
    <w:rsid w:val="00094AF7"/>
    <w:rsid w:val="00094D9E"/>
    <w:rsid w:val="00096502"/>
    <w:rsid w:val="000A49BB"/>
    <w:rsid w:val="000B2261"/>
    <w:rsid w:val="000B65A9"/>
    <w:rsid w:val="000C3441"/>
    <w:rsid w:val="000C7F53"/>
    <w:rsid w:val="000D2F8E"/>
    <w:rsid w:val="000D6859"/>
    <w:rsid w:val="000F196B"/>
    <w:rsid w:val="000F70D7"/>
    <w:rsid w:val="00105361"/>
    <w:rsid w:val="0010652B"/>
    <w:rsid w:val="001101F8"/>
    <w:rsid w:val="0011206F"/>
    <w:rsid w:val="00114999"/>
    <w:rsid w:val="0011656A"/>
    <w:rsid w:val="0012220C"/>
    <w:rsid w:val="0012307A"/>
    <w:rsid w:val="001240EC"/>
    <w:rsid w:val="0013584D"/>
    <w:rsid w:val="00135E40"/>
    <w:rsid w:val="00136EA3"/>
    <w:rsid w:val="00137575"/>
    <w:rsid w:val="00142E27"/>
    <w:rsid w:val="00144231"/>
    <w:rsid w:val="00150434"/>
    <w:rsid w:val="0015445A"/>
    <w:rsid w:val="00155721"/>
    <w:rsid w:val="00155D1F"/>
    <w:rsid w:val="00161018"/>
    <w:rsid w:val="0016503F"/>
    <w:rsid w:val="0016674F"/>
    <w:rsid w:val="00167CA0"/>
    <w:rsid w:val="001705B0"/>
    <w:rsid w:val="0017120D"/>
    <w:rsid w:val="001714F6"/>
    <w:rsid w:val="00176168"/>
    <w:rsid w:val="00177158"/>
    <w:rsid w:val="001808A5"/>
    <w:rsid w:val="00184FD4"/>
    <w:rsid w:val="00186B04"/>
    <w:rsid w:val="00186F1E"/>
    <w:rsid w:val="00190836"/>
    <w:rsid w:val="0019159C"/>
    <w:rsid w:val="00193930"/>
    <w:rsid w:val="00194028"/>
    <w:rsid w:val="001963A5"/>
    <w:rsid w:val="00196F1E"/>
    <w:rsid w:val="00197FCA"/>
    <w:rsid w:val="001A27DB"/>
    <w:rsid w:val="001A6852"/>
    <w:rsid w:val="001B286A"/>
    <w:rsid w:val="001B2D02"/>
    <w:rsid w:val="001B3647"/>
    <w:rsid w:val="001B77FA"/>
    <w:rsid w:val="001C0ABE"/>
    <w:rsid w:val="001C0FE1"/>
    <w:rsid w:val="001C3F88"/>
    <w:rsid w:val="001C5852"/>
    <w:rsid w:val="001D0E7C"/>
    <w:rsid w:val="001D2D4C"/>
    <w:rsid w:val="001D45F0"/>
    <w:rsid w:val="001D4E7B"/>
    <w:rsid w:val="001D5F18"/>
    <w:rsid w:val="001E4A33"/>
    <w:rsid w:val="001E5C27"/>
    <w:rsid w:val="001F602B"/>
    <w:rsid w:val="001F6AC8"/>
    <w:rsid w:val="002037D5"/>
    <w:rsid w:val="00206F90"/>
    <w:rsid w:val="00212B03"/>
    <w:rsid w:val="002131AE"/>
    <w:rsid w:val="00215C10"/>
    <w:rsid w:val="00215C2D"/>
    <w:rsid w:val="002252C4"/>
    <w:rsid w:val="0023183E"/>
    <w:rsid w:val="00231CA1"/>
    <w:rsid w:val="00235138"/>
    <w:rsid w:val="00236A0E"/>
    <w:rsid w:val="00243E36"/>
    <w:rsid w:val="0024540B"/>
    <w:rsid w:val="00245EF4"/>
    <w:rsid w:val="00246093"/>
    <w:rsid w:val="00250E11"/>
    <w:rsid w:val="00251383"/>
    <w:rsid w:val="002522C9"/>
    <w:rsid w:val="002524D5"/>
    <w:rsid w:val="00252A21"/>
    <w:rsid w:val="00253E4F"/>
    <w:rsid w:val="002542E4"/>
    <w:rsid w:val="002561CA"/>
    <w:rsid w:val="00261053"/>
    <w:rsid w:val="00262FDE"/>
    <w:rsid w:val="00263629"/>
    <w:rsid w:val="00267FEF"/>
    <w:rsid w:val="002706C8"/>
    <w:rsid w:val="002769BD"/>
    <w:rsid w:val="00276A75"/>
    <w:rsid w:val="002809EA"/>
    <w:rsid w:val="0028441C"/>
    <w:rsid w:val="00284962"/>
    <w:rsid w:val="00286F62"/>
    <w:rsid w:val="00287B0E"/>
    <w:rsid w:val="002A0B53"/>
    <w:rsid w:val="002A0EEF"/>
    <w:rsid w:val="002A4A34"/>
    <w:rsid w:val="002B16AC"/>
    <w:rsid w:val="002B2DF7"/>
    <w:rsid w:val="002C0595"/>
    <w:rsid w:val="002C3BF4"/>
    <w:rsid w:val="002C3CFE"/>
    <w:rsid w:val="002C749F"/>
    <w:rsid w:val="002D0068"/>
    <w:rsid w:val="002D1723"/>
    <w:rsid w:val="002D1B83"/>
    <w:rsid w:val="002D3923"/>
    <w:rsid w:val="002E0A4C"/>
    <w:rsid w:val="002E14C1"/>
    <w:rsid w:val="002E7B33"/>
    <w:rsid w:val="002F059B"/>
    <w:rsid w:val="002F5B0B"/>
    <w:rsid w:val="00300924"/>
    <w:rsid w:val="00300FB5"/>
    <w:rsid w:val="00301D8C"/>
    <w:rsid w:val="0030596E"/>
    <w:rsid w:val="003073C3"/>
    <w:rsid w:val="0031121F"/>
    <w:rsid w:val="00311BE2"/>
    <w:rsid w:val="00313E47"/>
    <w:rsid w:val="00323637"/>
    <w:rsid w:val="00324E8A"/>
    <w:rsid w:val="00326171"/>
    <w:rsid w:val="00330390"/>
    <w:rsid w:val="00330F04"/>
    <w:rsid w:val="00331D87"/>
    <w:rsid w:val="00332850"/>
    <w:rsid w:val="00334478"/>
    <w:rsid w:val="003346B4"/>
    <w:rsid w:val="00334AE6"/>
    <w:rsid w:val="003365D0"/>
    <w:rsid w:val="003439AB"/>
    <w:rsid w:val="00345823"/>
    <w:rsid w:val="0035034C"/>
    <w:rsid w:val="00350A46"/>
    <w:rsid w:val="00354695"/>
    <w:rsid w:val="0035549B"/>
    <w:rsid w:val="003663E8"/>
    <w:rsid w:val="003755C8"/>
    <w:rsid w:val="00375687"/>
    <w:rsid w:val="00380AE0"/>
    <w:rsid w:val="00383324"/>
    <w:rsid w:val="00384DFA"/>
    <w:rsid w:val="00387A75"/>
    <w:rsid w:val="003904FD"/>
    <w:rsid w:val="00392EF1"/>
    <w:rsid w:val="00394254"/>
    <w:rsid w:val="00395D5B"/>
    <w:rsid w:val="003A7EB1"/>
    <w:rsid w:val="003B0BE5"/>
    <w:rsid w:val="003C2BFB"/>
    <w:rsid w:val="003C436B"/>
    <w:rsid w:val="003C5337"/>
    <w:rsid w:val="003C5F92"/>
    <w:rsid w:val="003D06C4"/>
    <w:rsid w:val="003D7A8C"/>
    <w:rsid w:val="003D7C00"/>
    <w:rsid w:val="003E56E5"/>
    <w:rsid w:val="003E7E60"/>
    <w:rsid w:val="003F00D4"/>
    <w:rsid w:val="003F2209"/>
    <w:rsid w:val="003F3D39"/>
    <w:rsid w:val="003F4FC2"/>
    <w:rsid w:val="003F646A"/>
    <w:rsid w:val="003F6761"/>
    <w:rsid w:val="003F6A0A"/>
    <w:rsid w:val="004024F5"/>
    <w:rsid w:val="00402DE1"/>
    <w:rsid w:val="00403D8B"/>
    <w:rsid w:val="004058F1"/>
    <w:rsid w:val="00407E7D"/>
    <w:rsid w:val="004121E0"/>
    <w:rsid w:val="0041283D"/>
    <w:rsid w:val="00413AB4"/>
    <w:rsid w:val="004152DC"/>
    <w:rsid w:val="00421373"/>
    <w:rsid w:val="00421FB7"/>
    <w:rsid w:val="00426A10"/>
    <w:rsid w:val="0042763B"/>
    <w:rsid w:val="0043024C"/>
    <w:rsid w:val="00436706"/>
    <w:rsid w:val="00442107"/>
    <w:rsid w:val="00443D38"/>
    <w:rsid w:val="004466D5"/>
    <w:rsid w:val="00450E7A"/>
    <w:rsid w:val="00456AF8"/>
    <w:rsid w:val="004626B9"/>
    <w:rsid w:val="00470B15"/>
    <w:rsid w:val="0047117A"/>
    <w:rsid w:val="00471CDD"/>
    <w:rsid w:val="00475869"/>
    <w:rsid w:val="00475A77"/>
    <w:rsid w:val="00482A20"/>
    <w:rsid w:val="00484504"/>
    <w:rsid w:val="004866A9"/>
    <w:rsid w:val="004905FA"/>
    <w:rsid w:val="00492774"/>
    <w:rsid w:val="00496D7A"/>
    <w:rsid w:val="004A31BC"/>
    <w:rsid w:val="004A3F1A"/>
    <w:rsid w:val="004A3F45"/>
    <w:rsid w:val="004A4D76"/>
    <w:rsid w:val="004B1AFA"/>
    <w:rsid w:val="004B7088"/>
    <w:rsid w:val="004B717F"/>
    <w:rsid w:val="004C4D12"/>
    <w:rsid w:val="004C5B76"/>
    <w:rsid w:val="004D02CD"/>
    <w:rsid w:val="004D0B24"/>
    <w:rsid w:val="004D4B90"/>
    <w:rsid w:val="004D6B95"/>
    <w:rsid w:val="004D7F41"/>
    <w:rsid w:val="004E03A2"/>
    <w:rsid w:val="004E317E"/>
    <w:rsid w:val="004E3954"/>
    <w:rsid w:val="004E5856"/>
    <w:rsid w:val="004E5F2E"/>
    <w:rsid w:val="004E60D8"/>
    <w:rsid w:val="004F2330"/>
    <w:rsid w:val="004F53C6"/>
    <w:rsid w:val="004F55C6"/>
    <w:rsid w:val="004F69DB"/>
    <w:rsid w:val="004F6B87"/>
    <w:rsid w:val="004F7139"/>
    <w:rsid w:val="004F7744"/>
    <w:rsid w:val="00500770"/>
    <w:rsid w:val="00501C2D"/>
    <w:rsid w:val="00502637"/>
    <w:rsid w:val="0050397D"/>
    <w:rsid w:val="0050749D"/>
    <w:rsid w:val="00510A23"/>
    <w:rsid w:val="00511140"/>
    <w:rsid w:val="00513CFE"/>
    <w:rsid w:val="005236FA"/>
    <w:rsid w:val="00523B6A"/>
    <w:rsid w:val="00525F6C"/>
    <w:rsid w:val="005324D0"/>
    <w:rsid w:val="00544B6B"/>
    <w:rsid w:val="00544E97"/>
    <w:rsid w:val="00546AB4"/>
    <w:rsid w:val="00547FEA"/>
    <w:rsid w:val="00550F59"/>
    <w:rsid w:val="005514E5"/>
    <w:rsid w:val="00563C84"/>
    <w:rsid w:val="00567EFB"/>
    <w:rsid w:val="005762F6"/>
    <w:rsid w:val="00584FBE"/>
    <w:rsid w:val="00585483"/>
    <w:rsid w:val="00587378"/>
    <w:rsid w:val="00587C05"/>
    <w:rsid w:val="00590AAB"/>
    <w:rsid w:val="005938C3"/>
    <w:rsid w:val="0059468C"/>
    <w:rsid w:val="00595125"/>
    <w:rsid w:val="00596F21"/>
    <w:rsid w:val="005A7101"/>
    <w:rsid w:val="005B1CDD"/>
    <w:rsid w:val="005B1E19"/>
    <w:rsid w:val="005B3844"/>
    <w:rsid w:val="005B55FC"/>
    <w:rsid w:val="005C2D5E"/>
    <w:rsid w:val="005C3B81"/>
    <w:rsid w:val="005C650C"/>
    <w:rsid w:val="005D086C"/>
    <w:rsid w:val="005D11D3"/>
    <w:rsid w:val="005D4E1F"/>
    <w:rsid w:val="005D4FB3"/>
    <w:rsid w:val="005D7503"/>
    <w:rsid w:val="005E2164"/>
    <w:rsid w:val="005E2F07"/>
    <w:rsid w:val="005E2FEA"/>
    <w:rsid w:val="005E6247"/>
    <w:rsid w:val="005F314B"/>
    <w:rsid w:val="00602683"/>
    <w:rsid w:val="006066BE"/>
    <w:rsid w:val="00611AF2"/>
    <w:rsid w:val="0061212B"/>
    <w:rsid w:val="006127AF"/>
    <w:rsid w:val="00613A98"/>
    <w:rsid w:val="00613AD7"/>
    <w:rsid w:val="00613C6C"/>
    <w:rsid w:val="00615FB2"/>
    <w:rsid w:val="00617BD1"/>
    <w:rsid w:val="00617CE8"/>
    <w:rsid w:val="006278A0"/>
    <w:rsid w:val="0063095F"/>
    <w:rsid w:val="00631CBD"/>
    <w:rsid w:val="006349A4"/>
    <w:rsid w:val="0063704F"/>
    <w:rsid w:val="00643DC7"/>
    <w:rsid w:val="00646AC2"/>
    <w:rsid w:val="00646DA7"/>
    <w:rsid w:val="00650390"/>
    <w:rsid w:val="00654DAB"/>
    <w:rsid w:val="0066204A"/>
    <w:rsid w:val="00670E3C"/>
    <w:rsid w:val="00677F57"/>
    <w:rsid w:val="00681088"/>
    <w:rsid w:val="00685417"/>
    <w:rsid w:val="00685B3C"/>
    <w:rsid w:val="00692448"/>
    <w:rsid w:val="0069577E"/>
    <w:rsid w:val="0069634B"/>
    <w:rsid w:val="00696623"/>
    <w:rsid w:val="006A04E9"/>
    <w:rsid w:val="006A16D7"/>
    <w:rsid w:val="006A4A03"/>
    <w:rsid w:val="006A7543"/>
    <w:rsid w:val="006B5CDB"/>
    <w:rsid w:val="006B725C"/>
    <w:rsid w:val="006C273D"/>
    <w:rsid w:val="006C5321"/>
    <w:rsid w:val="006C5C4F"/>
    <w:rsid w:val="006C6282"/>
    <w:rsid w:val="006C762A"/>
    <w:rsid w:val="006D5FF9"/>
    <w:rsid w:val="006D7469"/>
    <w:rsid w:val="006D7C49"/>
    <w:rsid w:val="006E0772"/>
    <w:rsid w:val="006E0F86"/>
    <w:rsid w:val="006E58D0"/>
    <w:rsid w:val="006F0B15"/>
    <w:rsid w:val="006F0DCC"/>
    <w:rsid w:val="006F314E"/>
    <w:rsid w:val="00703DF9"/>
    <w:rsid w:val="00703F75"/>
    <w:rsid w:val="007048EB"/>
    <w:rsid w:val="00704FBB"/>
    <w:rsid w:val="0070726A"/>
    <w:rsid w:val="0071226B"/>
    <w:rsid w:val="00712BE6"/>
    <w:rsid w:val="0071530C"/>
    <w:rsid w:val="007166C6"/>
    <w:rsid w:val="00717040"/>
    <w:rsid w:val="00721668"/>
    <w:rsid w:val="00734BAF"/>
    <w:rsid w:val="0073618D"/>
    <w:rsid w:val="00740559"/>
    <w:rsid w:val="0075650E"/>
    <w:rsid w:val="00761996"/>
    <w:rsid w:val="007622A7"/>
    <w:rsid w:val="007627F3"/>
    <w:rsid w:val="007750A2"/>
    <w:rsid w:val="007817D6"/>
    <w:rsid w:val="00781E1C"/>
    <w:rsid w:val="00786E7C"/>
    <w:rsid w:val="00787912"/>
    <w:rsid w:val="0079177A"/>
    <w:rsid w:val="00794836"/>
    <w:rsid w:val="007948D5"/>
    <w:rsid w:val="007A15C9"/>
    <w:rsid w:val="007A245B"/>
    <w:rsid w:val="007A6676"/>
    <w:rsid w:val="007B43D9"/>
    <w:rsid w:val="007B4C0A"/>
    <w:rsid w:val="007B6368"/>
    <w:rsid w:val="007B7FF5"/>
    <w:rsid w:val="007C3FC6"/>
    <w:rsid w:val="007D2CE9"/>
    <w:rsid w:val="007D4FED"/>
    <w:rsid w:val="007D69DA"/>
    <w:rsid w:val="007D70B1"/>
    <w:rsid w:val="007D7140"/>
    <w:rsid w:val="007E1CDB"/>
    <w:rsid w:val="007E408C"/>
    <w:rsid w:val="007E7E21"/>
    <w:rsid w:val="007F0460"/>
    <w:rsid w:val="007F0DA2"/>
    <w:rsid w:val="007F3990"/>
    <w:rsid w:val="007F39CE"/>
    <w:rsid w:val="007F5E0D"/>
    <w:rsid w:val="007F6BCC"/>
    <w:rsid w:val="00800285"/>
    <w:rsid w:val="00801085"/>
    <w:rsid w:val="00801A89"/>
    <w:rsid w:val="00802F91"/>
    <w:rsid w:val="00805B20"/>
    <w:rsid w:val="00810C47"/>
    <w:rsid w:val="00812138"/>
    <w:rsid w:val="008151F2"/>
    <w:rsid w:val="0081777A"/>
    <w:rsid w:val="008210E0"/>
    <w:rsid w:val="00824079"/>
    <w:rsid w:val="00831355"/>
    <w:rsid w:val="00831F0A"/>
    <w:rsid w:val="00832396"/>
    <w:rsid w:val="00833A78"/>
    <w:rsid w:val="00845422"/>
    <w:rsid w:val="0084585F"/>
    <w:rsid w:val="00851062"/>
    <w:rsid w:val="00853E53"/>
    <w:rsid w:val="00853F14"/>
    <w:rsid w:val="0085535C"/>
    <w:rsid w:val="00864D76"/>
    <w:rsid w:val="008656C9"/>
    <w:rsid w:val="008656E6"/>
    <w:rsid w:val="0086711C"/>
    <w:rsid w:val="00867535"/>
    <w:rsid w:val="00872D20"/>
    <w:rsid w:val="00873606"/>
    <w:rsid w:val="0087511F"/>
    <w:rsid w:val="00875C5B"/>
    <w:rsid w:val="00883C5F"/>
    <w:rsid w:val="00891C7D"/>
    <w:rsid w:val="00892FA7"/>
    <w:rsid w:val="00896899"/>
    <w:rsid w:val="008A3301"/>
    <w:rsid w:val="008A4DF1"/>
    <w:rsid w:val="008A5636"/>
    <w:rsid w:val="008A5FF3"/>
    <w:rsid w:val="008B125E"/>
    <w:rsid w:val="008B241C"/>
    <w:rsid w:val="008B408B"/>
    <w:rsid w:val="008B4E42"/>
    <w:rsid w:val="008B4F11"/>
    <w:rsid w:val="008B5D1F"/>
    <w:rsid w:val="008C2362"/>
    <w:rsid w:val="008C238A"/>
    <w:rsid w:val="008C3049"/>
    <w:rsid w:val="008D2E9E"/>
    <w:rsid w:val="008D4AE9"/>
    <w:rsid w:val="008D5CF3"/>
    <w:rsid w:val="008D7D39"/>
    <w:rsid w:val="008E4574"/>
    <w:rsid w:val="008E7072"/>
    <w:rsid w:val="008F1493"/>
    <w:rsid w:val="008F4016"/>
    <w:rsid w:val="008F42FE"/>
    <w:rsid w:val="008F4A00"/>
    <w:rsid w:val="008F5402"/>
    <w:rsid w:val="0090053A"/>
    <w:rsid w:val="00901C2A"/>
    <w:rsid w:val="00907274"/>
    <w:rsid w:val="009073C0"/>
    <w:rsid w:val="009118C7"/>
    <w:rsid w:val="009225B6"/>
    <w:rsid w:val="0092428C"/>
    <w:rsid w:val="0092523D"/>
    <w:rsid w:val="00925397"/>
    <w:rsid w:val="00933A21"/>
    <w:rsid w:val="00934C10"/>
    <w:rsid w:val="0093662A"/>
    <w:rsid w:val="0094060C"/>
    <w:rsid w:val="00942C4B"/>
    <w:rsid w:val="00944196"/>
    <w:rsid w:val="00945F12"/>
    <w:rsid w:val="009604B4"/>
    <w:rsid w:val="009606A5"/>
    <w:rsid w:val="00962F1F"/>
    <w:rsid w:val="00965304"/>
    <w:rsid w:val="00966ACE"/>
    <w:rsid w:val="00971293"/>
    <w:rsid w:val="009739A0"/>
    <w:rsid w:val="00973A3B"/>
    <w:rsid w:val="00983EAE"/>
    <w:rsid w:val="0098760B"/>
    <w:rsid w:val="00987A80"/>
    <w:rsid w:val="00993BA0"/>
    <w:rsid w:val="009A11DD"/>
    <w:rsid w:val="009A592D"/>
    <w:rsid w:val="009B1224"/>
    <w:rsid w:val="009B30AA"/>
    <w:rsid w:val="009B5217"/>
    <w:rsid w:val="009C48DE"/>
    <w:rsid w:val="009D26D6"/>
    <w:rsid w:val="009D4420"/>
    <w:rsid w:val="009D60D9"/>
    <w:rsid w:val="009E1E1E"/>
    <w:rsid w:val="009E33E3"/>
    <w:rsid w:val="009E560B"/>
    <w:rsid w:val="009E7F16"/>
    <w:rsid w:val="009F3CF7"/>
    <w:rsid w:val="009F5052"/>
    <w:rsid w:val="009F682E"/>
    <w:rsid w:val="00A03083"/>
    <w:rsid w:val="00A03F22"/>
    <w:rsid w:val="00A04C85"/>
    <w:rsid w:val="00A100F0"/>
    <w:rsid w:val="00A156E6"/>
    <w:rsid w:val="00A177C5"/>
    <w:rsid w:val="00A26AA3"/>
    <w:rsid w:val="00A27D86"/>
    <w:rsid w:val="00A30A3D"/>
    <w:rsid w:val="00A31A0D"/>
    <w:rsid w:val="00A33151"/>
    <w:rsid w:val="00A35C06"/>
    <w:rsid w:val="00A36970"/>
    <w:rsid w:val="00A41EB4"/>
    <w:rsid w:val="00A44BFF"/>
    <w:rsid w:val="00A501E3"/>
    <w:rsid w:val="00A50F0C"/>
    <w:rsid w:val="00A521AF"/>
    <w:rsid w:val="00A54FBD"/>
    <w:rsid w:val="00A56429"/>
    <w:rsid w:val="00A56441"/>
    <w:rsid w:val="00A67921"/>
    <w:rsid w:val="00A736DD"/>
    <w:rsid w:val="00A82869"/>
    <w:rsid w:val="00A82C78"/>
    <w:rsid w:val="00A83D6B"/>
    <w:rsid w:val="00A8758C"/>
    <w:rsid w:val="00A92334"/>
    <w:rsid w:val="00AA127E"/>
    <w:rsid w:val="00AA19AE"/>
    <w:rsid w:val="00AA423D"/>
    <w:rsid w:val="00AA6A95"/>
    <w:rsid w:val="00AB10DE"/>
    <w:rsid w:val="00AB20D9"/>
    <w:rsid w:val="00AB3327"/>
    <w:rsid w:val="00AB3668"/>
    <w:rsid w:val="00AB5ED7"/>
    <w:rsid w:val="00AB69ED"/>
    <w:rsid w:val="00AB6E1C"/>
    <w:rsid w:val="00AC0B4C"/>
    <w:rsid w:val="00AC2342"/>
    <w:rsid w:val="00AC2BED"/>
    <w:rsid w:val="00AD0AEE"/>
    <w:rsid w:val="00AD49E3"/>
    <w:rsid w:val="00AD4B4F"/>
    <w:rsid w:val="00AE3507"/>
    <w:rsid w:val="00AF0616"/>
    <w:rsid w:val="00AF0785"/>
    <w:rsid w:val="00AF0E28"/>
    <w:rsid w:val="00AF4764"/>
    <w:rsid w:val="00AF6F9B"/>
    <w:rsid w:val="00B01409"/>
    <w:rsid w:val="00B022D4"/>
    <w:rsid w:val="00B10DBD"/>
    <w:rsid w:val="00B12156"/>
    <w:rsid w:val="00B13A4C"/>
    <w:rsid w:val="00B1534D"/>
    <w:rsid w:val="00B15629"/>
    <w:rsid w:val="00B2372C"/>
    <w:rsid w:val="00B30C8C"/>
    <w:rsid w:val="00B32F70"/>
    <w:rsid w:val="00B373D0"/>
    <w:rsid w:val="00B43A1F"/>
    <w:rsid w:val="00B43AAA"/>
    <w:rsid w:val="00B46B5B"/>
    <w:rsid w:val="00B53139"/>
    <w:rsid w:val="00B53A04"/>
    <w:rsid w:val="00B562CE"/>
    <w:rsid w:val="00B61C9D"/>
    <w:rsid w:val="00B62DE2"/>
    <w:rsid w:val="00B66916"/>
    <w:rsid w:val="00B74417"/>
    <w:rsid w:val="00B77246"/>
    <w:rsid w:val="00B866CD"/>
    <w:rsid w:val="00B869AA"/>
    <w:rsid w:val="00B93034"/>
    <w:rsid w:val="00B97C5D"/>
    <w:rsid w:val="00B97D77"/>
    <w:rsid w:val="00BA1290"/>
    <w:rsid w:val="00BB2792"/>
    <w:rsid w:val="00BB359B"/>
    <w:rsid w:val="00BB76BF"/>
    <w:rsid w:val="00BC1AD1"/>
    <w:rsid w:val="00BC3F01"/>
    <w:rsid w:val="00BC4A58"/>
    <w:rsid w:val="00BC613B"/>
    <w:rsid w:val="00BD2EB9"/>
    <w:rsid w:val="00BD51D9"/>
    <w:rsid w:val="00BD64E2"/>
    <w:rsid w:val="00BE39CD"/>
    <w:rsid w:val="00BE4995"/>
    <w:rsid w:val="00BF0F0F"/>
    <w:rsid w:val="00BF429A"/>
    <w:rsid w:val="00BF62BE"/>
    <w:rsid w:val="00C01C43"/>
    <w:rsid w:val="00C07126"/>
    <w:rsid w:val="00C146D8"/>
    <w:rsid w:val="00C158A2"/>
    <w:rsid w:val="00C16853"/>
    <w:rsid w:val="00C263F0"/>
    <w:rsid w:val="00C31D7C"/>
    <w:rsid w:val="00C33D41"/>
    <w:rsid w:val="00C33E89"/>
    <w:rsid w:val="00C40AFD"/>
    <w:rsid w:val="00C41E20"/>
    <w:rsid w:val="00C42E3E"/>
    <w:rsid w:val="00C51C13"/>
    <w:rsid w:val="00C525A5"/>
    <w:rsid w:val="00C5300F"/>
    <w:rsid w:val="00C54594"/>
    <w:rsid w:val="00C66CE0"/>
    <w:rsid w:val="00C71BED"/>
    <w:rsid w:val="00C720EE"/>
    <w:rsid w:val="00C737B2"/>
    <w:rsid w:val="00C73BEB"/>
    <w:rsid w:val="00C81B53"/>
    <w:rsid w:val="00C81D9B"/>
    <w:rsid w:val="00C82AD2"/>
    <w:rsid w:val="00C84822"/>
    <w:rsid w:val="00C879CB"/>
    <w:rsid w:val="00C90FB6"/>
    <w:rsid w:val="00C9220E"/>
    <w:rsid w:val="00C932BD"/>
    <w:rsid w:val="00C93429"/>
    <w:rsid w:val="00C93A3F"/>
    <w:rsid w:val="00CA02B7"/>
    <w:rsid w:val="00CA11FD"/>
    <w:rsid w:val="00CA16C5"/>
    <w:rsid w:val="00CA415A"/>
    <w:rsid w:val="00CA4297"/>
    <w:rsid w:val="00CA5052"/>
    <w:rsid w:val="00CA7A35"/>
    <w:rsid w:val="00CB043E"/>
    <w:rsid w:val="00CB0BA4"/>
    <w:rsid w:val="00CB1536"/>
    <w:rsid w:val="00CB1A27"/>
    <w:rsid w:val="00CB2275"/>
    <w:rsid w:val="00CB7FB8"/>
    <w:rsid w:val="00CC1F71"/>
    <w:rsid w:val="00CC528B"/>
    <w:rsid w:val="00CC5588"/>
    <w:rsid w:val="00CC5EB3"/>
    <w:rsid w:val="00CD0E7B"/>
    <w:rsid w:val="00CD2ABD"/>
    <w:rsid w:val="00CD4024"/>
    <w:rsid w:val="00CD4617"/>
    <w:rsid w:val="00CD4855"/>
    <w:rsid w:val="00CE4DFE"/>
    <w:rsid w:val="00CE6B16"/>
    <w:rsid w:val="00CE6D43"/>
    <w:rsid w:val="00CE7888"/>
    <w:rsid w:val="00D10E1C"/>
    <w:rsid w:val="00D122F6"/>
    <w:rsid w:val="00D161A3"/>
    <w:rsid w:val="00D22E49"/>
    <w:rsid w:val="00D23716"/>
    <w:rsid w:val="00D25ED8"/>
    <w:rsid w:val="00D27F8F"/>
    <w:rsid w:val="00D30243"/>
    <w:rsid w:val="00D316B8"/>
    <w:rsid w:val="00D31CFC"/>
    <w:rsid w:val="00D3255D"/>
    <w:rsid w:val="00D32B59"/>
    <w:rsid w:val="00D340C3"/>
    <w:rsid w:val="00D376B9"/>
    <w:rsid w:val="00D409CD"/>
    <w:rsid w:val="00D423D4"/>
    <w:rsid w:val="00D42CAF"/>
    <w:rsid w:val="00D5310F"/>
    <w:rsid w:val="00D601EF"/>
    <w:rsid w:val="00D60C3E"/>
    <w:rsid w:val="00D61533"/>
    <w:rsid w:val="00D63B2F"/>
    <w:rsid w:val="00D70747"/>
    <w:rsid w:val="00D72288"/>
    <w:rsid w:val="00D7261D"/>
    <w:rsid w:val="00D755FC"/>
    <w:rsid w:val="00D76B6D"/>
    <w:rsid w:val="00D84D07"/>
    <w:rsid w:val="00D8526A"/>
    <w:rsid w:val="00D90E91"/>
    <w:rsid w:val="00D94C2B"/>
    <w:rsid w:val="00DA111A"/>
    <w:rsid w:val="00DB60E1"/>
    <w:rsid w:val="00DC10B5"/>
    <w:rsid w:val="00DC1347"/>
    <w:rsid w:val="00DC308B"/>
    <w:rsid w:val="00DC311E"/>
    <w:rsid w:val="00DC3154"/>
    <w:rsid w:val="00DC39F1"/>
    <w:rsid w:val="00DE2008"/>
    <w:rsid w:val="00DE4B35"/>
    <w:rsid w:val="00DE64CF"/>
    <w:rsid w:val="00DF19C1"/>
    <w:rsid w:val="00DF21DA"/>
    <w:rsid w:val="00DF54CA"/>
    <w:rsid w:val="00DF56C9"/>
    <w:rsid w:val="00DF5B64"/>
    <w:rsid w:val="00DF7201"/>
    <w:rsid w:val="00E02794"/>
    <w:rsid w:val="00E043E3"/>
    <w:rsid w:val="00E04660"/>
    <w:rsid w:val="00E0505B"/>
    <w:rsid w:val="00E11280"/>
    <w:rsid w:val="00E12359"/>
    <w:rsid w:val="00E152FF"/>
    <w:rsid w:val="00E1539B"/>
    <w:rsid w:val="00E24595"/>
    <w:rsid w:val="00E2461B"/>
    <w:rsid w:val="00E24886"/>
    <w:rsid w:val="00E25B2C"/>
    <w:rsid w:val="00E271C6"/>
    <w:rsid w:val="00E276FB"/>
    <w:rsid w:val="00E30F51"/>
    <w:rsid w:val="00E32595"/>
    <w:rsid w:val="00E32DC6"/>
    <w:rsid w:val="00E33A74"/>
    <w:rsid w:val="00E34FA6"/>
    <w:rsid w:val="00E4030B"/>
    <w:rsid w:val="00E40857"/>
    <w:rsid w:val="00E41D56"/>
    <w:rsid w:val="00E457DF"/>
    <w:rsid w:val="00E46642"/>
    <w:rsid w:val="00E5139A"/>
    <w:rsid w:val="00E5413D"/>
    <w:rsid w:val="00E57977"/>
    <w:rsid w:val="00E635D7"/>
    <w:rsid w:val="00E6375E"/>
    <w:rsid w:val="00E70576"/>
    <w:rsid w:val="00E71DED"/>
    <w:rsid w:val="00E83954"/>
    <w:rsid w:val="00E90C7A"/>
    <w:rsid w:val="00E91730"/>
    <w:rsid w:val="00E95D04"/>
    <w:rsid w:val="00E96F04"/>
    <w:rsid w:val="00E97AEC"/>
    <w:rsid w:val="00EA1963"/>
    <w:rsid w:val="00EA20FE"/>
    <w:rsid w:val="00EA2AE0"/>
    <w:rsid w:val="00EA7135"/>
    <w:rsid w:val="00EB0BF4"/>
    <w:rsid w:val="00EB491E"/>
    <w:rsid w:val="00EB681B"/>
    <w:rsid w:val="00EB7363"/>
    <w:rsid w:val="00EC2255"/>
    <w:rsid w:val="00EC4936"/>
    <w:rsid w:val="00EC4FAD"/>
    <w:rsid w:val="00ED484F"/>
    <w:rsid w:val="00ED4B56"/>
    <w:rsid w:val="00EE3CFA"/>
    <w:rsid w:val="00EE439D"/>
    <w:rsid w:val="00EE69E4"/>
    <w:rsid w:val="00EF2A7F"/>
    <w:rsid w:val="00EF7E90"/>
    <w:rsid w:val="00F002B6"/>
    <w:rsid w:val="00F0169E"/>
    <w:rsid w:val="00F04B66"/>
    <w:rsid w:val="00F10AFE"/>
    <w:rsid w:val="00F15C6C"/>
    <w:rsid w:val="00F17173"/>
    <w:rsid w:val="00F20987"/>
    <w:rsid w:val="00F20CA6"/>
    <w:rsid w:val="00F20D27"/>
    <w:rsid w:val="00F224DC"/>
    <w:rsid w:val="00F22C11"/>
    <w:rsid w:val="00F2687F"/>
    <w:rsid w:val="00F26A5E"/>
    <w:rsid w:val="00F27F29"/>
    <w:rsid w:val="00F32D54"/>
    <w:rsid w:val="00F36C54"/>
    <w:rsid w:val="00F418EA"/>
    <w:rsid w:val="00F41A29"/>
    <w:rsid w:val="00F44C1C"/>
    <w:rsid w:val="00F46711"/>
    <w:rsid w:val="00F46949"/>
    <w:rsid w:val="00F518DF"/>
    <w:rsid w:val="00F5369C"/>
    <w:rsid w:val="00F544DB"/>
    <w:rsid w:val="00F5638B"/>
    <w:rsid w:val="00F6502E"/>
    <w:rsid w:val="00F65663"/>
    <w:rsid w:val="00F710DF"/>
    <w:rsid w:val="00F73855"/>
    <w:rsid w:val="00F75147"/>
    <w:rsid w:val="00F756C0"/>
    <w:rsid w:val="00F75A40"/>
    <w:rsid w:val="00F77637"/>
    <w:rsid w:val="00F77C90"/>
    <w:rsid w:val="00F8435D"/>
    <w:rsid w:val="00F862E5"/>
    <w:rsid w:val="00F86D0D"/>
    <w:rsid w:val="00F87921"/>
    <w:rsid w:val="00F87DD0"/>
    <w:rsid w:val="00F916F4"/>
    <w:rsid w:val="00F93170"/>
    <w:rsid w:val="00F93360"/>
    <w:rsid w:val="00F93FE4"/>
    <w:rsid w:val="00F97E4E"/>
    <w:rsid w:val="00FA1A40"/>
    <w:rsid w:val="00FA217B"/>
    <w:rsid w:val="00FA3E32"/>
    <w:rsid w:val="00FA4324"/>
    <w:rsid w:val="00FA6F42"/>
    <w:rsid w:val="00FB0BC5"/>
    <w:rsid w:val="00FB0BCC"/>
    <w:rsid w:val="00FC0FE5"/>
    <w:rsid w:val="00FC2EF0"/>
    <w:rsid w:val="00FD1ABC"/>
    <w:rsid w:val="00FD22AB"/>
    <w:rsid w:val="00FD602C"/>
    <w:rsid w:val="00FD7DDF"/>
    <w:rsid w:val="00FE1DC6"/>
    <w:rsid w:val="00FE418F"/>
    <w:rsid w:val="00FE46A1"/>
    <w:rsid w:val="00FE4C92"/>
    <w:rsid w:val="00FE7A9F"/>
    <w:rsid w:val="00FF01EF"/>
    <w:rsid w:val="00FF0FAA"/>
    <w:rsid w:val="00FF3759"/>
    <w:rsid w:val="00FF4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yi-He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."/>
  <w:listSeparator w:val=","/>
  <w14:docId w14:val="5B3BE568"/>
  <w15:docId w15:val="{ABFE2E09-F1BF-4667-B325-53AB9718F337}"/>
  <w:attachedTemplate r:id="relationI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mt-MT" w:eastAsia="de-DE" w:bidi="de-DE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 w:qFormat="1"/>
    <w:lsdException w:name="annotation text" w:semiHidden="1" w:unhideWhenUsed="1"/>
    <w:lsdException w:name="header" w:locked="1" w:semiHidden="1" w:uiPriority="0" w:unhideWhenUsed="1" w:qFormat="1"/>
    <w:lsdException w:name="footer" w:locked="1" w:semiHidden="1" w:uiPriority="0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0CA6"/>
    <w:pPr>
      <w:spacing w:line="288" w:lineRule="auto"/>
      <w:jc w:val="both"/>
    </w:pPr>
    <w:rPr>
      <w:lang w:eastAsia="en-US" w:bidi="ar-SA"/>
    </w:rPr>
  </w:style>
  <w:style w:type="paragraph" w:styleId="Heading1">
    <w:name w:val="heading 1"/>
    <w:basedOn w:val="Normal"/>
    <w:next w:val="Normal"/>
    <w:link w:val="Heading1Char"/>
    <w:qFormat/>
    <w:rsid w:val="00F20CA6"/>
    <w:pPr>
      <w:numPr>
        <w:numId w:val="1"/>
      </w:numPr>
      <w:ind w:left="567" w:hanging="567"/>
      <w:outlineLvl w:val="0"/>
    </w:pPr>
    <w:rPr>
      <w:kern w:val="28"/>
    </w:rPr>
  </w:style>
  <w:style w:type="paragraph" w:styleId="Heading2">
    <w:name w:val="heading 2"/>
    <w:basedOn w:val="Normal"/>
    <w:next w:val="Normal"/>
    <w:link w:val="Heading2Char"/>
    <w:qFormat/>
    <w:rsid w:val="00F20CA6"/>
    <w:pPr>
      <w:numPr>
        <w:ilvl w:val="1"/>
        <w:numId w:val="1"/>
      </w:numPr>
      <w:ind w:left="567" w:hanging="567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F20CA6"/>
    <w:pPr>
      <w:numPr>
        <w:ilvl w:val="2"/>
        <w:numId w:val="1"/>
      </w:numPr>
      <w:ind w:left="567" w:hanging="567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F20CA6"/>
    <w:pPr>
      <w:numPr>
        <w:ilvl w:val="3"/>
        <w:numId w:val="1"/>
      </w:numPr>
      <w:ind w:left="567" w:hanging="567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F20CA6"/>
    <w:pPr>
      <w:numPr>
        <w:ilvl w:val="4"/>
        <w:numId w:val="1"/>
      </w:numPr>
      <w:ind w:left="567" w:hanging="567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F20CA6"/>
    <w:pPr>
      <w:numPr>
        <w:ilvl w:val="5"/>
        <w:numId w:val="1"/>
      </w:numPr>
      <w:ind w:left="567" w:hanging="567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F20CA6"/>
    <w:pPr>
      <w:numPr>
        <w:ilvl w:val="6"/>
        <w:numId w:val="1"/>
      </w:numPr>
      <w:ind w:left="567" w:hanging="567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F20CA6"/>
    <w:pPr>
      <w:numPr>
        <w:ilvl w:val="7"/>
        <w:numId w:val="1"/>
      </w:numPr>
      <w:ind w:left="567" w:hanging="567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F20CA6"/>
    <w:pPr>
      <w:numPr>
        <w:ilvl w:val="8"/>
        <w:numId w:val="1"/>
      </w:numPr>
      <w:ind w:left="567" w:hanging="567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CB1536"/>
    <w:rPr>
      <w:kern w:val="28"/>
      <w:lang w:val="mt-MT" w:eastAsia="en-US" w:bidi="ar-SA"/>
    </w:rPr>
  </w:style>
  <w:style w:type="character" w:customStyle="1" w:styleId="Heading2Char">
    <w:name w:val="Heading 2 Char"/>
    <w:basedOn w:val="DefaultParagraphFont"/>
    <w:link w:val="Heading2"/>
    <w:locked/>
    <w:rsid w:val="00CB1536"/>
    <w:rPr>
      <w:lang w:val="mt-MT" w:eastAsia="en-US" w:bidi="ar-SA"/>
    </w:rPr>
  </w:style>
  <w:style w:type="character" w:customStyle="1" w:styleId="Heading3Char">
    <w:name w:val="Heading 3 Char"/>
    <w:basedOn w:val="DefaultParagraphFont"/>
    <w:link w:val="Heading3"/>
    <w:locked/>
    <w:rsid w:val="00CB1536"/>
    <w:rPr>
      <w:lang w:val="mt-MT" w:eastAsia="en-US" w:bidi="ar-SA"/>
    </w:rPr>
  </w:style>
  <w:style w:type="character" w:customStyle="1" w:styleId="Heading4Char">
    <w:name w:val="Heading 4 Char"/>
    <w:basedOn w:val="DefaultParagraphFont"/>
    <w:link w:val="Heading4"/>
    <w:locked/>
    <w:rsid w:val="00CB1536"/>
    <w:rPr>
      <w:lang w:val="mt-MT" w:eastAsia="en-US" w:bidi="ar-SA"/>
    </w:rPr>
  </w:style>
  <w:style w:type="character" w:customStyle="1" w:styleId="Heading5Char">
    <w:name w:val="Heading 5 Char"/>
    <w:basedOn w:val="DefaultParagraphFont"/>
    <w:link w:val="Heading5"/>
    <w:locked/>
    <w:rsid w:val="00CB1536"/>
    <w:rPr>
      <w:lang w:val="mt-MT" w:eastAsia="en-US" w:bidi="ar-SA"/>
    </w:rPr>
  </w:style>
  <w:style w:type="character" w:customStyle="1" w:styleId="Heading6Char">
    <w:name w:val="Heading 6 Char"/>
    <w:basedOn w:val="DefaultParagraphFont"/>
    <w:link w:val="Heading6"/>
    <w:locked/>
    <w:rsid w:val="00CB1536"/>
    <w:rPr>
      <w:lang w:val="mt-MT" w:eastAsia="en-US" w:bidi="ar-SA"/>
    </w:rPr>
  </w:style>
  <w:style w:type="character" w:customStyle="1" w:styleId="Heading7Char">
    <w:name w:val="Heading 7 Char"/>
    <w:basedOn w:val="DefaultParagraphFont"/>
    <w:link w:val="Heading7"/>
    <w:locked/>
    <w:rsid w:val="00CB1536"/>
    <w:rPr>
      <w:lang w:val="mt-MT" w:eastAsia="en-US" w:bidi="ar-SA"/>
    </w:rPr>
  </w:style>
  <w:style w:type="character" w:customStyle="1" w:styleId="Heading8Char">
    <w:name w:val="Heading 8 Char"/>
    <w:basedOn w:val="DefaultParagraphFont"/>
    <w:link w:val="Heading8"/>
    <w:locked/>
    <w:rsid w:val="00CB1536"/>
    <w:rPr>
      <w:lang w:val="mt-MT" w:eastAsia="en-US" w:bidi="ar-SA"/>
    </w:rPr>
  </w:style>
  <w:style w:type="character" w:customStyle="1" w:styleId="Heading9Char">
    <w:name w:val="Heading 9 Char"/>
    <w:basedOn w:val="DefaultParagraphFont"/>
    <w:link w:val="Heading9"/>
    <w:locked/>
    <w:rsid w:val="00CB1536"/>
    <w:rPr>
      <w:lang w:val="mt-MT" w:eastAsia="en-US" w:bidi="ar-SA"/>
    </w:rPr>
  </w:style>
  <w:style w:type="paragraph" w:styleId="Footer">
    <w:name w:val="footer"/>
    <w:basedOn w:val="Normal"/>
    <w:link w:val="FooterChar"/>
    <w:qFormat/>
    <w:rsid w:val="00F20CA6"/>
  </w:style>
  <w:style w:type="character" w:customStyle="1" w:styleId="FooterChar">
    <w:name w:val="Footer Char"/>
    <w:basedOn w:val="DefaultParagraphFont"/>
    <w:link w:val="Footer"/>
    <w:locked/>
    <w:rsid w:val="00CB1536"/>
    <w:rPr>
      <w:lang w:eastAsia="en-US" w:bidi="ar-SA"/>
    </w:rPr>
  </w:style>
  <w:style w:type="paragraph" w:styleId="FootnoteText">
    <w:name w:val="footnote text"/>
    <w:aliases w:val="~FootnoteText,Fußnotentext Char,Fußnotentext Char2 Char,Fußnotentext Char1 Char Char,Fußnotentext Char Char Char Char,Fußnotentext Char Char1 Char,Fußnotentext Char2,Fußnotentext Char1 Char,Fußnotentext Char Char Char,WB-Fußnotentext,fn,ft"/>
    <w:basedOn w:val="Normal"/>
    <w:link w:val="FootnoteTextChar"/>
    <w:qFormat/>
    <w:rsid w:val="00F20CA6"/>
    <w:pPr>
      <w:keepLines/>
      <w:spacing w:after="60" w:line="240" w:lineRule="auto"/>
      <w:ind w:left="567" w:hanging="567"/>
    </w:pPr>
    <w:rPr>
      <w:sz w:val="16"/>
    </w:rPr>
  </w:style>
  <w:style w:type="character" w:customStyle="1" w:styleId="FootnoteTextChar">
    <w:name w:val="Footnote Text Char"/>
    <w:aliases w:val="~FootnoteText Char,Fußnotentext Char Char,Fußnotentext Char2 Char Char,Fußnotentext Char1 Char Char Char,Fußnotentext Char Char Char Char Char,Fußnotentext Char Char1 Char Char,Fußnotentext Char2 Char1,Fußnotentext Char1 Char Char1"/>
    <w:basedOn w:val="DefaultParagraphFont"/>
    <w:link w:val="FootnoteText"/>
    <w:qFormat/>
    <w:locked/>
    <w:rsid w:val="00CB1536"/>
    <w:rPr>
      <w:sz w:val="16"/>
      <w:lang w:val="mt-MT" w:eastAsia="en-US" w:bidi="ar-SA"/>
    </w:rPr>
  </w:style>
  <w:style w:type="paragraph" w:styleId="Header">
    <w:name w:val="header"/>
    <w:basedOn w:val="Normal"/>
    <w:link w:val="HeaderChar"/>
    <w:qFormat/>
    <w:rsid w:val="00F20CA6"/>
  </w:style>
  <w:style w:type="character" w:customStyle="1" w:styleId="HeaderChar">
    <w:name w:val="Header Char"/>
    <w:basedOn w:val="DefaultParagraphFont"/>
    <w:link w:val="Header"/>
    <w:locked/>
    <w:rsid w:val="00CB1536"/>
    <w:rPr>
      <w:lang w:eastAsia="en-US" w:bidi="ar-SA"/>
    </w:rPr>
  </w:style>
  <w:style w:type="character" w:styleId="Hyperlink">
    <w:name w:val="Hyperlink"/>
    <w:basedOn w:val="DefaultParagraphFont"/>
    <w:uiPriority w:val="99"/>
    <w:rsid w:val="00934C1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934C10"/>
    <w:rPr>
      <w:color w:val="800080"/>
      <w:u w:val="single"/>
    </w:rPr>
  </w:style>
  <w:style w:type="paragraph" w:customStyle="1" w:styleId="LOGO">
    <w:name w:val="LOGO"/>
    <w:basedOn w:val="Normal"/>
    <w:uiPriority w:val="99"/>
    <w:rsid w:val="00934C10"/>
    <w:pPr>
      <w:jc w:val="center"/>
    </w:pPr>
    <w:rPr>
      <w:rFonts w:ascii="Arial" w:hAnsi="Arial" w:cs="Arial"/>
      <w:b/>
      <w:bCs/>
      <w:i/>
      <w:iCs/>
      <w:sz w:val="20"/>
    </w:rPr>
  </w:style>
  <w:style w:type="paragraph" w:styleId="Revision">
    <w:name w:val="Revision"/>
    <w:hidden/>
    <w:uiPriority w:val="99"/>
    <w:semiHidden/>
    <w:rsid w:val="00B2372C"/>
  </w:style>
  <w:style w:type="paragraph" w:customStyle="1" w:styleId="quotes">
    <w:name w:val="quotes"/>
    <w:basedOn w:val="Normal"/>
    <w:next w:val="Normal"/>
    <w:rsid w:val="00F20CA6"/>
    <w:pPr>
      <w:ind w:left="720"/>
    </w:pPr>
    <w:rPr>
      <w:i/>
    </w:rPr>
  </w:style>
  <w:style w:type="paragraph" w:styleId="CommentText">
    <w:name w:val="annotation text"/>
    <w:basedOn w:val="Normal"/>
    <w:link w:val="CommentTextChar"/>
    <w:uiPriority w:val="99"/>
    <w:unhideWhenUsed/>
    <w:rsid w:val="00392E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2EF1"/>
    <w:rPr>
      <w:sz w:val="20"/>
      <w:szCs w:val="20"/>
      <w:lang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6E7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E7C"/>
    <w:rPr>
      <w:rFonts w:ascii="Segoe UI" w:hAnsi="Segoe UI" w:cs="Segoe UI"/>
      <w:sz w:val="18"/>
      <w:szCs w:val="18"/>
      <w:lang w:val="mt-MT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94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4.xml"/><Relationship Id="rId21" Type="http://schemas.openxmlformats.org/officeDocument/2006/relationships/customXml" Target="../customXml/item1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24" Type="http://schemas.openxmlformats.org/officeDocument/2006/relationships/customXml" Target="../customXml/item4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customXml" Target="../customXml/item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customXml" Target="../customXml/item2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rom-resilienz.de/data/stromresilienz/user_upload/Dateien/Schlussbericht_Strom-Resilienz.pdf" TargetMode="External"/><Relationship Id="rId13" Type="http://schemas.openxmlformats.org/officeDocument/2006/relationships/hyperlink" Target="https://eur-lex.europa.eu/legal-content/MT/TXT/?uri=CELEX:52016AE6895&amp;qid=1613735054011" TargetMode="External"/><Relationship Id="rId3" Type="http://schemas.openxmlformats.org/officeDocument/2006/relationships/hyperlink" Target="https://eur-lex.europa.eu/legal-content/MT/TXT/?uri=uriserv:OJ.C_.2020.047.01.0050.01.MLT&amp;toc=OJ:C:2020:047:TOC" TargetMode="External"/><Relationship Id="rId7" Type="http://schemas.openxmlformats.org/officeDocument/2006/relationships/hyperlink" Target="http://eur-lex.europa.eu/legal-content/MT/TXT/?uri=OJ:C:2020:429:TOC" TargetMode="External"/><Relationship Id="rId12" Type="http://schemas.openxmlformats.org/officeDocument/2006/relationships/hyperlink" Target="https://eur-lex.europa.eu/legal-content/MT/TXT/?uri=CELEX:52020AE3018&amp;qid=1615550202956" TargetMode="External"/><Relationship Id="rId2" Type="http://schemas.openxmlformats.org/officeDocument/2006/relationships/hyperlink" Target="https://eur-lex.europa.eu/legal-content/MT/TXT/?uri=CELEX:52020DC0950&amp;qid=1607524251598" TargetMode="External"/><Relationship Id="rId1" Type="http://schemas.openxmlformats.org/officeDocument/2006/relationships/hyperlink" Target="https://eur-lex.europa.eu/legal-content/MT/TXT/HTML/?uri=CELEX:52015DC0080&amp;from=MT" TargetMode="External"/><Relationship Id="rId6" Type="http://schemas.openxmlformats.org/officeDocument/2006/relationships/hyperlink" Target="file://isis/dfs/shr-Trad_Auto_Services/Ariane/Corrections/COM(2015)%2080%20final,%20p.%2013." TargetMode="External"/><Relationship Id="rId11" Type="http://schemas.openxmlformats.org/officeDocument/2006/relationships/hyperlink" Target="https://eur-lex.europa.eu/legal-content/MT/TXT/?qid=1613734912385&amp;uri=CELEX:52015AE5033" TargetMode="External"/><Relationship Id="rId5" Type="http://schemas.openxmlformats.org/officeDocument/2006/relationships/hyperlink" Target="http://eur-lex.europa.eu/legal-content/MT/TXT/?uri=OJ:C:2020:429:TOC" TargetMode="External"/><Relationship Id="rId10" Type="http://schemas.openxmlformats.org/officeDocument/2006/relationships/hyperlink" Target="https://eur-lex.europa.eu/legal-content/MT/TXT/?uri=uriserv:OJ.C_.2021.123.01.0022.01.MLT&amp;toc=OJ:C:2021:123:TOC" TargetMode="External"/><Relationship Id="rId4" Type="http://schemas.openxmlformats.org/officeDocument/2006/relationships/hyperlink" Target="http://eur-lex.europa.eu/legal-content/MT/TXT/?uri=OJ:C:2019:062:TOC" TargetMode="External"/><Relationship Id="rId9" Type="http://schemas.openxmlformats.org/officeDocument/2006/relationships/hyperlink" Target="https://eur-lex.europa.eu/legal-content/MT/TXT/?uri=uriserv:OJ.C_.2021.123.01.0030.01.MLT&amp;toc=OJ:C:2021:123:TOC" TargetMode="External"/><Relationship Id="rId14" Type="http://schemas.openxmlformats.org/officeDocument/2006/relationships/hyperlink" Target="https://eur-lex.europa.eu/legal-content/MT/TXT/?uri=CELEX:52016IE6805&amp;qid=1613735271622" TargetMode="Externa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file:///Y:\word2016\Templates\Global\Styles.dotm" TargetMode="External" Id="rId1" /><Relationship Type="http://schemas.openxmlformats.org/officeDocument/2006/relationships/attachedTemplate" Target="Normal.dotm" TargetMode="External" Id="relationId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B2B329A7DAC4C144A75447C3256C027E" ma:contentTypeVersion="5" ma:contentTypeDescription="Defines the documents for Document Manager V2" ma:contentTypeScope="" ma:versionID="0d91993552fe3556fbffcde22d41e5eb">
  <xsd:schema xmlns:xsd="http://www.w3.org/2001/XMLSchema" xmlns:xs="http://www.w3.org/2001/XMLSchema" xmlns:p="http://schemas.microsoft.com/office/2006/metadata/properties" xmlns:ns2="cda99570-6012-4083-bfeb-7d32ad1ce1a3" xmlns:ns3="http://schemas.microsoft.com/sharepoint/v3/fields" xmlns:ns4="fe314fe7-af03-4a89-9224-0704990312b2" targetNamespace="http://schemas.microsoft.com/office/2006/metadata/properties" ma:root="true" ma:fieldsID="8ecbf314780697a2217be5444707e891" ns2:_="" ns3:_="" ns4:_="">
    <xsd:import namespace="cda99570-6012-4083-bfeb-7d32ad1ce1a3"/>
    <xsd:import namespace="http://schemas.microsoft.com/sharepoint/v3/fields"/>
    <xsd:import namespace="fe314fe7-af03-4a89-9224-0704990312b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  <xsd:element ref="ns2:OriginalSend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a99570-6012-4083-bfeb-7d32ad1ce1a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DossierNumber" ma:index="14" nillable="true" ma:displayName="Dossier Number" ma:decimals="0" ma:internalName="DossierNumber">
      <xsd:simpleType>
        <xsd:restriction base="dms:Unknown"/>
      </xsd:simpleType>
    </xsd:element>
    <xsd:element name="Rapporteur" ma:index="16" nillable="true" ma:displayName="Rapporteur" ma:internalName="Rapporteur">
      <xsd:simpleType>
        <xsd:restriction base="dms:Text"/>
      </xsd:simpleType>
    </xsd:element>
    <xsd:element name="AdoptionDate" ma:index="17" nillable="true" ma:displayName="Adoption Date" ma:format="DateOnly" ma:internalName="AdoptionDate">
      <xsd:simpleType>
        <xsd:restriction base="dms:DateTime"/>
      </xsd:simpleType>
    </xsd:element>
    <xsd:element name="TaxCatchAll" ma:index="19" nillable="true" ma:displayName="Taxonomy Catch All Column" ma:description="" ma:hidden="true" ma:list="{0d0d295d-627a-4c5d-a1a5-11c9952cac30}" ma:internalName="TaxCatchAll" ma:showField="CatchAllData" ma:web="cda99570-6012-4083-bfeb-7d32ad1ce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description="" ma:hidden="true" ma:list="{0d0d295d-627a-4c5d-a1a5-11c9952cac30}" ma:internalName="TaxCatchAllLabel" ma:readOnly="true" ma:showField="CatchAllDataLabel" ma:web="cda99570-6012-4083-bfeb-7d32ad1ce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5" nillable="true" ma:displayName="Meeting Date" ma:format="DateOnly" ma:internalName="MeetingDate">
      <xsd:simpleType>
        <xsd:restriction base="dms:DateTime"/>
      </xsd:simpleType>
    </xsd:element>
    <xsd:element name="Procedure" ma:index="28" nillable="true" ma:displayName="Procedure" ma:internalName="Procedure">
      <xsd:simpleType>
        <xsd:restriction base="dms:Text"/>
      </xsd:simpleType>
    </xsd:element>
    <xsd:element name="DocumentYear" ma:index="33" ma:displayName="Document Year" ma:decimals="0" ma:internalName="DocumentYear">
      <xsd:simpleType>
        <xsd:restriction base="dms:Unknown"/>
      </xsd:simpleType>
    </xsd:element>
    <xsd:element name="DocumentPart" ma:index="36" nillable="true" ma:displayName="Document Part" ma:decimals="0" ma:internalName="DocumentPart">
      <xsd:simpleType>
        <xsd:restriction base="dms:Unknown"/>
      </xsd:simpleType>
    </xsd:element>
    <xsd:element name="FicheYear" ma:index="41" nillable="true" ma:displayName="Fiche Year" ma:decimals="0" ma:internalName="FicheYear">
      <xsd:simpleType>
        <xsd:restriction base="dms:Unknown"/>
      </xsd:simpleType>
    </xsd:element>
    <xsd:element name="RequestingService" ma:index="42" nillable="true" ma:displayName="Requesting Service" ma:internalName="RequestingService">
      <xsd:simpleType>
        <xsd:restriction base="dms:Text"/>
      </xsd:simpleType>
    </xsd:element>
    <xsd:element name="FicheNumber" ma:index="43" nillable="true" ma:displayName="Fiche Number" ma:decimals="0" ma:internalName="FicheNumber">
      <xsd:simpleType>
        <xsd:restriction base="dms:Unknown"/>
      </xsd:simpleType>
    </xsd:element>
    <xsd:element name="DocumentVersion" ma:index="46" nillable="true" ma:displayName="Document Version" ma:decimals="0" ma:internalName="DocumentVersion">
      <xsd:simpleType>
        <xsd:restriction base="dms:Unknown"/>
      </xsd:simpleType>
    </xsd:element>
    <xsd:element name="OriginalSender" ma:index="47" nillable="true" ma:displayName="Original Sender" ma:internalName="OriginalSen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8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2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6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29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1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4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7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39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4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314fe7-af03-4a89-9224-0704990312b2" elementFormDefault="qualified">
    <xsd:import namespace="http://schemas.microsoft.com/office/2006/documentManagement/types"/>
    <xsd:import namespace="http://schemas.microsoft.com/office/infopath/2007/PartnerControls"/>
    <xsd:element name="MeetingNumber" ma:index="15" nillable="true" ma:displayName="Meeting Number" ma:decimals="0" ma:indexed="true" ma:internalName="MeetingNumber">
      <xsd:simpleType>
        <xsd:restriction base="dms:Unknown"/>
      </xsd:simpleType>
    </xsd:element>
    <xsd:element name="DocumentNumber" ma:index="24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da99570-6012-4083-bfeb-7d32ad1ce1a3">VV634QRNENMJ-592872750-7597</_dlc_DocId>
    <_dlc_DocIdUrl xmlns="cda99570-6012-4083-bfeb-7d32ad1ce1a3">
      <Url>http://dm2016/eesc/2020/_layouts/15/DocIdRedir.aspx?ID=VV634QRNENMJ-592872750-7597</Url>
      <Description>VV634QRNENMJ-592872750-7597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AC</TermName>
          <TermId xmlns="http://schemas.microsoft.com/office/infopath/2007/PartnerControls">a4cc1d15-fb08-4679-ad46-e4e0cba5fe92</TermId>
        </TermInfo>
      </Terms>
    </DocumentType_0>
    <Procedure xmlns="cda99570-6012-4083-bfeb-7d32ad1ce1a3" xsi:nil="true"/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EESC</TermName>
          <TermId xmlns="http://schemas.microsoft.com/office/infopath/2007/PartnerControls">422833ec-8d7e-4e65-8e4e-8bed07ffb729</TermId>
        </TermInfo>
      </Terms>
    </DocumentSource_0>
    <ProductionDate xmlns="cda99570-6012-4083-bfeb-7d32ad1ce1a3">2021-04-22T12:00:00+00:00</ProductionDate>
    <DocumentNumber xmlns="fe314fe7-af03-4a89-9224-0704990312b2">4915</DocumentNumber>
    <FicheYear xmlns="cda99570-6012-4083-bfeb-7d32ad1ce1a3" xsi:nil="true"/>
    <DocumentVersion xmlns="cda99570-6012-4083-bfeb-7d32ad1ce1a3">1</DocumentVersion>
    <DossierNumber xmlns="cda99570-6012-4083-bfeb-7d32ad1ce1a3">724</DossierNumber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cda99570-6012-4083-bfeb-7d32ad1ce1a3" xsi:nil="true"/>
    <TaxCatchAll xmlns="cda99570-6012-4083-bfeb-7d32ad1ce1a3">
      <Value>70</Value>
      <Value>48</Value>
      <Value>47</Value>
      <Value>46</Value>
      <Value>45</Value>
      <Value>44</Value>
      <Value>43</Value>
      <Value>41</Value>
      <Value>40</Value>
      <Value>39</Value>
      <Value>38</Value>
      <Value>36</Value>
      <Value>34</Value>
      <Value>32</Value>
      <Value>31</Value>
      <Value>30</Value>
      <Value>29</Value>
      <Value>28</Value>
      <Value>24</Value>
      <Value>16</Value>
      <Value>13</Value>
      <Value>11</Value>
      <Value>10</Value>
      <Value>9</Value>
      <Value>6</Value>
      <Value>5</Value>
      <Value>4</Value>
      <Value>2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</Terms>
    </DocumentLanguage_0>
    <Rapporteur xmlns="cda99570-6012-4083-bfeb-7d32ad1ce1a3">RIBBE</Rapporteur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DocumentYear xmlns="cda99570-6012-4083-bfeb-7d32ad1ce1a3">2020</DocumentYear>
    <FicheNumber xmlns="cda99570-6012-4083-bfeb-7d32ad1ce1a3">5459</FicheNumber>
    <DocumentPart xmlns="cda99570-6012-4083-bfeb-7d32ad1ce1a3">0</DocumentPart>
    <AdoptionDate xmlns="cda99570-6012-4083-bfeb-7d32ad1ce1a3">2021-03-24T12:00:00+00:00</AdoptionDate>
    <RequestingService xmlns="cda99570-6012-4083-bfeb-7d32ad1ce1a3">Transports, énergie, infrastructures, société de l'information</RequestingService>
    <MeetingName_0 xmlns="http://schemas.microsoft.com/sharepoint/v3/fields">
      <Terms xmlns="http://schemas.microsoft.com/office/infopath/2007/PartnerControls"/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  <TermInfo xmlns="http://schemas.microsoft.com/office/infopath/2007/PartnerControls">
          <TermName xmlns="http://schemas.microsoft.com/office/infopath/2007/PartnerControls">NL</TermName>
          <TermId xmlns="http://schemas.microsoft.com/office/infopath/2007/PartnerControls">55c6556c-b4f4-441d-9acf-c498d4f838bd</TermId>
        </TermInfo>
        <TermInfo xmlns="http://schemas.microsoft.com/office/infopath/2007/PartnerControls">
          <TermName xmlns="http://schemas.microsoft.com/office/infopath/2007/PartnerControls">SV</TermName>
          <TermId xmlns="http://schemas.microsoft.com/office/infopath/2007/PartnerControls">c2ed69e7-a339-43d7-8f22-d93680a92aa0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  <TermInfo xmlns="http://schemas.microsoft.com/office/infopath/2007/PartnerControls">
          <TermName xmlns="http://schemas.microsoft.com/office/infopath/2007/PartnerControls">LV</TermName>
          <TermId xmlns="http://schemas.microsoft.com/office/infopath/2007/PartnerControls">46f7e311-5d9f-4663-b433-18aeccb7ace7</TermId>
        </TermInfo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  <TermInfo xmlns="http://schemas.microsoft.com/office/infopath/2007/PartnerControls">
          <TermName xmlns="http://schemas.microsoft.com/office/infopath/2007/PartnerControls">ET</TermName>
          <TermId xmlns="http://schemas.microsoft.com/office/infopath/2007/PartnerControls">ff6c3f4c-b02c-4c3c-ab07-2c37995a7a0a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d2afafd3-4c81-4f60-8f52-ee33f2f54ff3</TermId>
        </TermInfo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SK</TermName>
          <TermId xmlns="http://schemas.microsoft.com/office/infopath/2007/PartnerControls">46d9fce0-ef79-4f71-b89b-cd6aa82426b8</TermId>
        </TermInfo>
        <TermInfo xmlns="http://schemas.microsoft.com/office/infopath/2007/PartnerControls">
          <TermName xmlns="http://schemas.microsoft.com/office/infopath/2007/PartnerControls">RO</TermName>
          <TermId xmlns="http://schemas.microsoft.com/office/infopath/2007/PartnerControls">feb747a2-64cd-4299-af12-4833ddc30497</TermId>
        </TermInfo>
        <TermInfo xmlns="http://schemas.microsoft.com/office/infopath/2007/PartnerControls">
          <TermName xmlns="http://schemas.microsoft.com/office/infopath/2007/PartnerControls">HU</TermName>
          <TermId xmlns="http://schemas.microsoft.com/office/infopath/2007/PartnerControls">6b229040-c589-4408-b4c1-4285663d20a8</TermId>
        </TermInfo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  <TermInfo xmlns="http://schemas.microsoft.com/office/infopath/2007/PartnerControls">
          <TermName xmlns="http://schemas.microsoft.com/office/infopath/2007/PartnerControls">EL</TermName>
          <TermId xmlns="http://schemas.microsoft.com/office/infopath/2007/PartnerControls">6d4f4d51-af9b-4650-94b4-4276bee85c91</TermId>
        </TermInfo>
        <TermInfo xmlns="http://schemas.microsoft.com/office/infopath/2007/PartnerControls">
          <TermName xmlns="http://schemas.microsoft.com/office/infopath/2007/PartnerControls">DE</TermName>
          <TermId xmlns="http://schemas.microsoft.com/office/infopath/2007/PartnerControls">f6b31e5a-26fa-4935-b661-318e46daf27e</TermId>
        </TermInfo>
        <TermInfo xmlns="http://schemas.microsoft.com/office/infopath/2007/PartnerControls">
          <TermName xmlns="http://schemas.microsoft.com/office/infopath/2007/PartnerControls">PL</TermName>
          <TermId xmlns="http://schemas.microsoft.com/office/infopath/2007/PartnerControls">1e03da61-4678-4e07-b136-b5024ca9197b</TermId>
        </TermInfo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  <TermInfo xmlns="http://schemas.microsoft.com/office/infopath/2007/PartnerControls">
          <TermName xmlns="http://schemas.microsoft.com/office/infopath/2007/PartnerControls">LT</TermName>
          <TermId xmlns="http://schemas.microsoft.com/office/infopath/2007/PartnerControls">a7ff5ce7-6123-4f68-865a-a57c31810414</TermId>
        </TermInfo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fe314fe7-af03-4a89-9224-0704990312b2" xsi:nil="true"/>
    <DossierNam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TEN</TermName>
          <TermId xmlns="http://schemas.microsoft.com/office/infopath/2007/PartnerControls">5e12260d-3aca-41f8-baf2-ad3d18475f10</TermId>
        </TermInfo>
      </Terms>
    </DossierName_0>
    <OriginalSender xmlns="cda99570-6012-4083-bfeb-7d32ad1ce1a3">
      <UserInfo>
        <DisplayName/>
        <AccountId xsi:nil="true"/>
        <AccountType/>
      </UserInfo>
    </OriginalSender>
  </documentManagement>
</p:properties>
</file>

<file path=customXml/itemProps1.xml><?xml version="1.0" encoding="utf-8"?>
<ds:datastoreItem xmlns:ds="http://schemas.openxmlformats.org/officeDocument/2006/customXml" ds:itemID="{EFE12583-43CF-42CF-B404-B5176995BE88}"/>
</file>

<file path=customXml/itemProps2.xml><?xml version="1.0" encoding="utf-8"?>
<ds:datastoreItem xmlns:ds="http://schemas.openxmlformats.org/officeDocument/2006/customXml" ds:itemID="{E9260E58-353E-4BF2-B979-9C4F9A8AD10B}"/>
</file>

<file path=customXml/itemProps3.xml><?xml version="1.0" encoding="utf-8"?>
<ds:datastoreItem xmlns:ds="http://schemas.openxmlformats.org/officeDocument/2006/customXml" ds:itemID="{35899425-058C-48A2-A2CF-2F2D39E835A1}"/>
</file>

<file path=customXml/itemProps4.xml><?xml version="1.0" encoding="utf-8"?>
<ds:datastoreItem xmlns:ds="http://schemas.openxmlformats.org/officeDocument/2006/customXml" ds:itemID="{DF1C0D5D-A178-4169-A5B8-5056A6D4577C}"/>
</file>

<file path=docProps/app.xml><?xml version="1.0" encoding="utf-8"?>
<Properties xmlns="http://schemas.openxmlformats.org/officeDocument/2006/extended-properties" xmlns:vt="http://schemas.openxmlformats.org/officeDocument/2006/docPropsVTypes">
  <Template>Styles.dotm</Template>
  <TotalTime>3</TotalTime>
  <Pages>14</Pages>
  <Words>5399</Words>
  <Characters>30776</Characters>
  <Application>Microsoft Office Word</Application>
  <DocSecurity>0</DocSecurity>
  <Lines>256</Lines>
  <Paragraphs>72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State of the Energy Union Report 2020 and Assessment of National Energy and Climate Plans</vt:lpstr>
      <vt:lpstr>European Agenda on Migration: Second implementation package - A permanent crisis relocation mechanism under the Dublin system</vt:lpstr>
    </vt:vector>
  </TitlesOfParts>
  <Company>CESE-CdR</Company>
  <LinksUpToDate>false</LinksUpToDate>
  <CharactersWithSpaces>36103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Rapport tal-2020 dwar l-Istat tal-Unjoni tal-Enerġija u Valutazzjoni tal-Pjani Nazzjonali għall-Enerġija u l-Klima</dc:title>
  <dc:subject>AC</dc:subject>
  <dc:creator>Emma Nieddu</dc:creator>
  <cp:keywords>EESC-2020-04915-00-01-AC-TRA-EN</cp:keywords>
  <dc:description>Rapporteur: RIBBE - Original language: EN - Date of document: 22-04-2021 - Date of meeting:  - External documents: COM(2020)950-final - Administrator:  RIZZI Alessandro</dc:description>
  <cp:lastModifiedBy>Gauci Sephora</cp:lastModifiedBy>
  <cp:revision>8</cp:revision>
  <cp:lastPrinted>2016-07-15T09:51:00Z</cp:lastPrinted>
  <dcterms:created xsi:type="dcterms:W3CDTF">2021-04-20T14:46:00Z</dcterms:created>
  <dcterms:modified xsi:type="dcterms:W3CDTF">2021-04-22T08:25:00Z</dcterms:modified>
  <cp:category>TEN/724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f_formatted">
    <vt:bool>true</vt:bool>
  </property>
  <property fmtid="{D5CDD505-2E9C-101B-9397-08002B2CF9AE}" pid="3" name="Pref_Date">
    <vt:lpwstr>20/04/2021, 31/03/2021, 12/03/2021, 24/02/2021, 19/02/2021, 20/01/2021, 10/12/2020, 28/09/2020, 14/09/2020, 04/11/2015, 27/10/2015, 19/10/2015, 09/10/2015, 05/10/2015, 05/10/2015, 26/08/2015, 26/08/2015, 25/08/2015</vt:lpwstr>
  </property>
  <property fmtid="{D5CDD505-2E9C-101B-9397-08002B2CF9AE}" pid="4" name="Pref_Time">
    <vt:lpwstr>16:46:17, 08:42:16, 16:22:40, 11:32:31, 16:55:47, 16:52:36, 08:54:49, 14:47:33, 13:56:52, 12:10:07, 14:44:02, 16:04:16, 14:09:30, 16:24:55, 16:04:02, 08:56:14, 07:27:56, 17:31:53</vt:lpwstr>
  </property>
  <property fmtid="{D5CDD505-2E9C-101B-9397-08002B2CF9AE}" pid="5" name="Pref_User">
    <vt:lpwstr>hnic, hnic, amett, enied, hnic, hnic, enied, hnic, mkop, ssex, enied, amett, tvoc, mreg, mreg, amett, enied, ssex</vt:lpwstr>
  </property>
  <property fmtid="{D5CDD505-2E9C-101B-9397-08002B2CF9AE}" pid="6" name="Pref_FileName">
    <vt:lpwstr>EESC-2020-04915-00-01-AC-ORI.docx, EESC-2020-04915-00-00-AC-ORI.docx, EESC-2020-04915-00-00-AS-TRA-EN-CRR.docx, EESC-2020-04915-00-01-PA-ORI.docx, EESC-2020-04915-00-00-PA-TRA-DE-CRR.docx, EESC-2020-04915-00-00-APA-TRA-DE-CRR.docx, EESC-2020-04915-00-00-D</vt:lpwstr>
  </property>
  <property fmtid="{D5CDD505-2E9C-101B-9397-08002B2CF9AE}" pid="7" name="ContentTypeId">
    <vt:lpwstr>0x010100EA97B91038054C99906057A708A1480A00B2B329A7DAC4C144A75447C3256C027E</vt:lpwstr>
  </property>
  <property fmtid="{D5CDD505-2E9C-101B-9397-08002B2CF9AE}" pid="8" name="_dlc_DocIdItemGuid">
    <vt:lpwstr>9456670d-51e2-4271-a041-723a4f6c455b</vt:lpwstr>
  </property>
  <property fmtid="{D5CDD505-2E9C-101B-9397-08002B2CF9AE}" pid="9" name="AvailableTranslations">
    <vt:lpwstr>31;#CS|72f9705b-0217-4fd3-bea2-cbc7ed80e26e;#41;#NL|55c6556c-b4f4-441d-9acf-c498d4f838bd;#40;#SV|c2ed69e7-a339-43d7-8f22-d93680a92aa0;#4;#EN|f2175f21-25d7-44a3-96da-d6a61b075e1b;#13;#IT|0774613c-01ed-4e5d-a25d-11d2388de825;#24;#LV|46f7e311-5d9f-4663-b433-18aeccb7ace7;#36;#MT|7df99101-6854-4a26-b53a-b88c0da02c26;#47;#ET|ff6c3f4c-b02c-4c3c-ab07-2c37995a7a0a;#34;#SL|98a412ae-eb01-49e9-ae3d-585a81724cfc;#11;#FR|d2afafd3-4c81-4f60-8f52-ee33f2f54ff3;#32;#DA|5d49c027-8956-412b-aa16-e85a0f96ad0e;#46;#SK|46d9fce0-ef79-4f71-b89b-cd6aa82426b8;#48;#RO|feb747a2-64cd-4299-af12-4833ddc30497;#39;#HU|6b229040-c589-4408-b4c1-4285663d20a8;#43;#HR|2f555653-ed1a-4fe6-8362-9082d95989e5;#38;#EL|6d4f4d51-af9b-4650-94b4-4276bee85c91;#10;#DE|f6b31e5a-26fa-4935-b661-318e46daf27e;#9;#PL|1e03da61-4678-4e07-b136-b5024ca9197b;#44;#BG|1a1b3951-7821-4e6a-85f5-5673fc08bd2c;#29;#PT|50ccc04a-eadd-42ae-a0cb-acaf45f812ba;#30;#LT|a7ff5ce7-6123-4f68-865a-a57c31810414;#16;#ES|e7a6b05b-ae16-40c8-add9-68b64b03aeba;#45;#FI|87606a43-d45f-42d6-b8c9-e1a3457db5b7</vt:lpwstr>
  </property>
  <property fmtid="{D5CDD505-2E9C-101B-9397-08002B2CF9AE}" pid="10" name="DocumentType_0">
    <vt:lpwstr>AC|a4cc1d15-fb08-4679-ad46-e4e0cba5fe92</vt:lpwstr>
  </property>
  <property fmtid="{D5CDD505-2E9C-101B-9397-08002B2CF9AE}" pid="11" name="DossierName_0">
    <vt:lpwstr>TEN|5e12260d-3aca-41f8-baf2-ad3d18475f10</vt:lpwstr>
  </property>
  <property fmtid="{D5CDD505-2E9C-101B-9397-08002B2CF9AE}" pid="12" name="DocumentSource_0">
    <vt:lpwstr>EESC|422833ec-8d7e-4e65-8e4e-8bed07ffb729</vt:lpwstr>
  </property>
  <property fmtid="{D5CDD505-2E9C-101B-9397-08002B2CF9AE}" pid="13" name="DocumentNumber">
    <vt:i4>4915</vt:i4>
  </property>
  <property fmtid="{D5CDD505-2E9C-101B-9397-08002B2CF9AE}" pid="14" name="DocumentVersion">
    <vt:i4>1</vt:i4>
  </property>
  <property fmtid="{D5CDD505-2E9C-101B-9397-08002B2CF9AE}" pid="15" name="DossierNumber">
    <vt:i4>724</vt:i4>
  </property>
  <property fmtid="{D5CDD505-2E9C-101B-9397-08002B2CF9AE}" pid="16" name="DocumentStatus">
    <vt:lpwstr>2;#TRA|150d2a88-1431-44e6-a8ca-0bb753ab8672</vt:lpwstr>
  </property>
  <property fmtid="{D5CDD505-2E9C-101B-9397-08002B2CF9AE}" pid="17" name="DocumentPart">
    <vt:i4>0</vt:i4>
  </property>
  <property fmtid="{D5CDD505-2E9C-101B-9397-08002B2CF9AE}" pid="18" name="DossierName">
    <vt:lpwstr>28;#TEN|5e12260d-3aca-41f8-baf2-ad3d18475f10</vt:lpwstr>
  </property>
  <property fmtid="{D5CDD505-2E9C-101B-9397-08002B2CF9AE}" pid="19" name="DocumentSource">
    <vt:lpwstr>1;#EESC|422833ec-8d7e-4e65-8e4e-8bed07ffb729</vt:lpwstr>
  </property>
  <property fmtid="{D5CDD505-2E9C-101B-9397-08002B2CF9AE}" pid="20" name="AdoptionDate">
    <vt:filetime>2021-03-24T12:00:00Z</vt:filetime>
  </property>
  <property fmtid="{D5CDD505-2E9C-101B-9397-08002B2CF9AE}" pid="21" name="DocumentType">
    <vt:lpwstr>70;#AC|a4cc1d15-fb08-4679-ad46-e4e0cba5fe92</vt:lpwstr>
  </property>
  <property fmtid="{D5CDD505-2E9C-101B-9397-08002B2CF9AE}" pid="22" name="RequestingService">
    <vt:lpwstr>Transports, énergie, infrastructures, société de l'information</vt:lpwstr>
  </property>
  <property fmtid="{D5CDD505-2E9C-101B-9397-08002B2CF9AE}" pid="23" name="Confidentiality">
    <vt:lpwstr>5;#Unrestricted|826e22d7-d029-4ec0-a450-0c28ff673572</vt:lpwstr>
  </property>
  <property fmtid="{D5CDD505-2E9C-101B-9397-08002B2CF9AE}" pid="24" name="MeetingName_0">
    <vt:lpwstr/>
  </property>
  <property fmtid="{D5CDD505-2E9C-101B-9397-08002B2CF9AE}" pid="25" name="Confidentiality_0">
    <vt:lpwstr>Unrestricted|826e22d7-d029-4ec0-a450-0c28ff673572</vt:lpwstr>
  </property>
  <property fmtid="{D5CDD505-2E9C-101B-9397-08002B2CF9AE}" pid="26" name="OriginalLanguage">
    <vt:lpwstr>4;#EN|f2175f21-25d7-44a3-96da-d6a61b075e1b</vt:lpwstr>
  </property>
  <property fmtid="{D5CDD505-2E9C-101B-9397-08002B2CF9AE}" pid="27" name="MeetingName">
    <vt:lpwstr/>
  </property>
  <property fmtid="{D5CDD505-2E9C-101B-9397-08002B2CF9AE}" pid="29" name="AvailableTranslations_0">
    <vt:lpwstr>CS|72f9705b-0217-4fd3-bea2-cbc7ed80e26e;NL|55c6556c-b4f4-441d-9acf-c498d4f838bd;EN|f2175f21-25d7-44a3-96da-d6a61b075e1b;IT|0774613c-01ed-4e5d-a25d-11d2388de825;LV|46f7e311-5d9f-4663-b433-18aeccb7ace7;ET|ff6c3f4c-b02c-4c3c-ab07-2c37995a7a0a;DA|5d49c027-8956-412b-aa16-e85a0f96ad0e;SK|46d9fce0-ef79-4f71-b89b-cd6aa82426b8;EL|6d4f4d51-af9b-4650-94b4-4276bee85c91;DE|f6b31e5a-26fa-4935-b661-318e46daf27e;PT|50ccc04a-eadd-42ae-a0cb-acaf45f812ba;LT|a7ff5ce7-6123-4f68-865a-a57c31810414;ES|e7a6b05b-ae16-40c8-add9-68b64b03aeba</vt:lpwstr>
  </property>
  <property fmtid="{D5CDD505-2E9C-101B-9397-08002B2CF9AE}" pid="30" name="DocumentStatus_0">
    <vt:lpwstr>TRA|150d2a88-1431-44e6-a8ca-0bb753ab8672</vt:lpwstr>
  </property>
  <property fmtid="{D5CDD505-2E9C-101B-9397-08002B2CF9AE}" pid="31" name="OriginalLanguage_0">
    <vt:lpwstr>EN|f2175f21-25d7-44a3-96da-d6a61b075e1b</vt:lpwstr>
  </property>
  <property fmtid="{D5CDD505-2E9C-101B-9397-08002B2CF9AE}" pid="32" name="TaxCatchAll">
    <vt:lpwstr>70;#AC|a4cc1d15-fb08-4679-ad46-e4e0cba5fe92;#32;#DA|5d49c027-8956-412b-aa16-e85a0f96ad0e;#31;#CS|72f9705b-0217-4fd3-bea2-cbc7ed80e26e;#30;#LT|a7ff5ce7-6123-4f68-865a-a57c31810414;#29;#PT|50ccc04a-eadd-42ae-a0cb-acaf45f812ba;#28;#TEN|5e12260d-3aca-41f8-baf2-ad3d18475f10;#24;#LV|46f7e311-5d9f-4663-b433-18aeccb7ace7;#38;#EL|6d4f4d51-af9b-4650-94b4-4276bee85c91;#10;#DE|f6b31e5a-26fa-4935-b661-318e46daf27e;#13;#IT|0774613c-01ed-4e5d-a25d-11d2388de825;#16;#ES|e7a6b05b-ae16-40c8-add9-68b64b03aeba;#47;#ET|ff6c3f4c-b02c-4c3c-ab07-2c37995a7a0a;#46;#SK|46d9fce0-ef79-4f71-b89b-cd6aa82426b8;#41;#NL|55c6556c-b4f4-441d-9acf-c498d4f838bd;#6;#Final|ea5e6674-7b27-4bac-b091-73adbb394efe;#5;#Unrestricted|826e22d7-d029-4ec0-a450-0c28ff673572;#4;#EN|f2175f21-25d7-44a3-96da-d6a61b075e1b;#2;#TRA|150d2a88-1431-44e6-a8ca-0bb753ab8672;#1;#EESC|422833ec-8d7e-4e65-8e4e-8bed07ffb729</vt:lpwstr>
  </property>
  <property fmtid="{D5CDD505-2E9C-101B-9397-08002B2CF9AE}" pid="33" name="Rapporteur">
    <vt:lpwstr>RIBBE</vt:lpwstr>
  </property>
  <property fmtid="{D5CDD505-2E9C-101B-9397-08002B2CF9AE}" pid="34" name="VersionStatus_0">
    <vt:lpwstr>Final|ea5e6674-7b27-4bac-b091-73adbb394efe</vt:lpwstr>
  </property>
  <property fmtid="{D5CDD505-2E9C-101B-9397-08002B2CF9AE}" pid="35" name="VersionStatus">
    <vt:lpwstr>6;#Final|ea5e6674-7b27-4bac-b091-73adbb394efe</vt:lpwstr>
  </property>
  <property fmtid="{D5CDD505-2E9C-101B-9397-08002B2CF9AE}" pid="36" name="DocumentYear">
    <vt:i4>2020</vt:i4>
  </property>
  <property fmtid="{D5CDD505-2E9C-101B-9397-08002B2CF9AE}" pid="37" name="FicheNumber">
    <vt:i4>5459</vt:i4>
  </property>
  <property fmtid="{D5CDD505-2E9C-101B-9397-08002B2CF9AE}" pid="38" name="DocumentLanguage">
    <vt:lpwstr>36;#MT|7df99101-6854-4a26-b53a-b88c0da02c26</vt:lpwstr>
  </property>
</Properties>
</file>