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er4.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DC308B" w:rsidR="00646AC2" w:rsidP="00D32B59" w:rsidRDefault="00DF5911" w14:paraId="5B3BE56A" w14:textId="5FC8E96D">
      <w:pPr>
        <w:jc w:val="center"/>
      </w:pPr>
      <w:r>
        <w:rPr>
          <w:noProof/>
          <w:lang w:val="en-US"/>
        </w:rPr>
        <w:drawing>
          <wp:inline distT="0" distB="0" distL="0" distR="0" wp14:anchorId="269109C9" wp14:editId="7415CC0D">
            <wp:extent cx="1792605" cy="1241425"/>
            <wp:effectExtent l="0" t="0" r="0" b="0"/>
            <wp:docPr id="1" name="Picture 1" title="EESCLogo_RO"/>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00D72288">
        <w:rPr>
          <w:noProof/>
          <w:sz w:val="20"/>
          <w:lang w:val="en-US"/>
        </w:rPr>
        <mc:AlternateContent>
          <mc:Choice Requires="wps">
            <w:drawing>
              <wp:anchor distT="0" distB="0" distL="114300" distR="114300" simplePos="0" relativeHeight="251658752" behindDoc="1" locked="0" layoutInCell="0" allowOverlap="1" wp14:editId="39AFD928" wp14:anchorId="74AB9871">
                <wp:simplePos x="0" y="0"/>
                <wp:positionH relativeFrom="page">
                  <wp:posOffset>6769100</wp:posOffset>
                </wp:positionH>
                <wp:positionV relativeFrom="page">
                  <wp:posOffset>10081260</wp:posOffset>
                </wp:positionV>
                <wp:extent cx="647700" cy="396240"/>
                <wp:effectExtent l="0" t="3810" r="3175" b="0"/>
                <wp:wrapNone/>
                <wp:docPr id="2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024C5A" w:rsidRDefault="00024C5A" w14:paraId="713271A4" w14:textId="77777777">
                            <w:pPr>
                              <w:jc w:val="center"/>
                              <w:rPr>
                                <w:rFonts w:ascii="Arial" w:hAnsi="Arial" w:cs="Arial"/>
                                <w:b/>
                                <w:bCs/>
                                <w:sz w:val="48"/>
                              </w:rPr>
                            </w:pPr>
                            <w:r>
                              <w:rPr>
                                <w:rFonts w:ascii="Arial" w:hAnsi="Arial"/>
                                <w:b/>
                                <w:bCs/>
                                <w:sz w:val="48"/>
                              </w:rPr>
                              <w:t>RO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74AB9871">
                <v:stroke joinstyle="miter"/>
                <v:path gradientshapeok="t" o:connecttype="rect"/>
              </v:shapetype>
              <v:shape id="Text Box 14" style="position:absolute;left:0;text-align:left;margin-left:533pt;margin-top:793.8pt;width:51pt;height:3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7DAtwIAALo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">
                <v:textbox>
                  <w:txbxContent>
                    <w:p w:rsidRPr="00260E65" w:rsidR="00024C5A" w:rsidRDefault="00024C5A" w14:paraId="713271A4" w14:textId="77777777">
                      <w:pPr>
                        <w:jc w:val="center"/>
                        <w:rPr>
                          <w:rFonts w:ascii="Arial" w:hAnsi="Arial" w:cs="Arial"/>
                          <w:b/>
                          <w:bCs/>
                          <w:sz w:val="48"/>
                        </w:rPr>
                      </w:pPr>
                      <w:r>
                        <w:rPr>
                          <w:rFonts w:ascii="Arial" w:hAnsi="Arial"/>
                          <w:b/>
                          <w:bCs/>
                          <w:sz w:val="48"/>
                        </w:rPr>
                        <w:t>RO</w:t>
                      </w:r>
                    </w:p>
                  </w:txbxContent>
                </v:textbox>
                <w10:wrap anchorx="page" anchory="page"/>
              </v:shape>
            </w:pict>
          </mc:Fallback>
        </mc:AlternateContent>
      </w:r>
    </w:p>
    <w:p w:rsidRPr="00DC308B" w:rsidR="00D32B59" w:rsidP="00BC3F01" w:rsidRDefault="00D32B59" w14:paraId="57EA3151" w14:textId="77777777"/>
    <w:p w:rsidRPr="00DC308B" w:rsidR="00646AC2" w:rsidP="00BC3F01" w:rsidRDefault="007F3990" w14:paraId="5B3BE56B" w14:textId="25317837">
      <w:pPr>
        <w:jc w:val="right"/>
      </w:pPr>
      <w:r>
        <w:rPr>
          <w:b/>
        </w:rPr>
        <w:t>TEN/724</w:t>
      </w:r>
    </w:p>
    <w:p w:rsidRPr="00DC308B" w:rsidR="00563C84" w:rsidP="00BC3F01" w:rsidRDefault="00FE7A9F" w14:paraId="5B3BE56C" w14:textId="5410D69F">
      <w:pPr>
        <w:jc w:val="right"/>
      </w:pPr>
      <w:r>
        <w:rPr>
          <w:b/>
        </w:rPr>
        <w:t xml:space="preserve">Raportul din 2020 privind starea uniunii energetice </w:t>
      </w:r>
      <w:r w:rsidR="00FF06C5">
        <w:rPr>
          <w:b/>
        </w:rPr>
        <w:br/>
      </w:r>
      <w:r>
        <w:rPr>
          <w:b/>
        </w:rPr>
        <w:t>și</w:t>
      </w:r>
      <w:r w:rsidR="00FF06C5">
        <w:rPr>
          <w:b/>
        </w:rPr>
        <w:t xml:space="preserve"> </w:t>
      </w:r>
      <w:r>
        <w:rPr>
          <w:b/>
        </w:rPr>
        <w:t>evaluarea planurilor energetice și climatice naționale</w:t>
      </w:r>
    </w:p>
    <w:p w:rsidRPr="00DC308B" w:rsidR="009B30AA" w:rsidP="00BC3F01" w:rsidRDefault="009B30AA" w14:paraId="5B3BE56D" w14:textId="77777777"/>
    <w:p w:rsidRPr="00DC308B" w:rsidR="009B30AA" w:rsidP="00BC3F01" w:rsidRDefault="009B30AA" w14:paraId="5B3BE56E" w14:textId="77777777"/>
    <w:p w:rsidR="00B61C9D" w:rsidP="00FE7A9F" w:rsidRDefault="00FF06C5" w14:paraId="214CD0F5" w14:textId="6AEAB278">
      <w:pPr>
        <w:jc w:val="center"/>
      </w:pPr>
      <w:r w:rsidRPr="00FF06C5">
        <w:rPr>
          <w:b/>
          <w:bCs/>
          <w:sz w:val="28"/>
          <w:szCs w:val="28"/>
        </w:rPr>
        <w:t>AVIZ</w:t>
      </w:r>
      <w:r>
        <w:t xml:space="preserve"> </w:t>
      </w:r>
      <w:r w:rsidR="00550F59">
        <w:br/>
      </w:r>
      <w:r w:rsidR="00550F59">
        <w:br/>
        <w:t>Comitetul Economic și Social European</w:t>
      </w:r>
      <w:r>
        <w:t xml:space="preserve"> </w:t>
      </w:r>
      <w:r w:rsidR="00550F59">
        <w:br/>
      </w:r>
      <w:r w:rsidR="00550F59">
        <w:br/>
      </w:r>
      <w:r w:rsidR="00550F59">
        <w:rPr>
          <w:b/>
        </w:rPr>
        <w:t xml:space="preserve">Raport al Comisiei către Parlamentul European, Consiliu, </w:t>
      </w:r>
      <w:r>
        <w:rPr>
          <w:b/>
        </w:rPr>
        <w:br/>
      </w:r>
      <w:r w:rsidR="00550F59">
        <w:rPr>
          <w:b/>
        </w:rPr>
        <w:t xml:space="preserve">Comitetul Economic și Social European și Comitetul Regiunilor – </w:t>
      </w:r>
      <w:r>
        <w:rPr>
          <w:b/>
        </w:rPr>
        <w:br/>
      </w:r>
      <w:r w:rsidR="00550F59">
        <w:rPr>
          <w:b/>
        </w:rPr>
        <w:t>Raportul din 2020 privind starea uniunii energetice în temeiul Regulamentului (UE) 2018/1999 privind guvernanța uniunii energetice și a acțiunilor climatice</w:t>
      </w:r>
    </w:p>
    <w:p w:rsidR="00987A80" w:rsidP="00FE7A9F" w:rsidRDefault="00FE7A9F" w14:paraId="7F5985E8" w14:textId="0026B330">
      <w:pPr>
        <w:jc w:val="center"/>
      </w:pPr>
      <w:r>
        <w:t xml:space="preserve">și </w:t>
      </w:r>
      <w:r>
        <w:br/>
      </w:r>
      <w:r>
        <w:rPr>
          <w:b/>
        </w:rPr>
        <w:t xml:space="preserve">Comunicare a Comisiei către Parlamentul European, Consiliu, </w:t>
      </w:r>
      <w:r w:rsidR="00FF06C5">
        <w:rPr>
          <w:b/>
        </w:rPr>
        <w:br/>
      </w:r>
      <w:r>
        <w:rPr>
          <w:b/>
        </w:rPr>
        <w:t xml:space="preserve">Comitetul Economic și Social European și Comitetul Regiunilor – </w:t>
      </w:r>
      <w:r w:rsidR="00FF06C5">
        <w:rPr>
          <w:b/>
        </w:rPr>
        <w:br/>
      </w:r>
      <w:r>
        <w:rPr>
          <w:b/>
        </w:rPr>
        <w:t xml:space="preserve">Evaluarea la nivelul UE a planurilor naționale în domeniul energiei și al climei: </w:t>
      </w:r>
      <w:r w:rsidR="00FF06C5">
        <w:rPr>
          <w:b/>
        </w:rPr>
        <w:br/>
      </w:r>
      <w:r>
        <w:rPr>
          <w:b/>
        </w:rPr>
        <w:t xml:space="preserve">Stimularea tranziției verzi și promovarea redresării economice </w:t>
      </w:r>
      <w:r w:rsidR="00FF06C5">
        <w:rPr>
          <w:b/>
        </w:rPr>
        <w:br/>
      </w:r>
      <w:r>
        <w:rPr>
          <w:b/>
        </w:rPr>
        <w:t>prin intermediul planificării energetice și climatice integrate</w:t>
      </w:r>
      <w:r w:rsidR="00B439A3">
        <w:rPr>
          <w:b/>
        </w:rPr>
        <w:t xml:space="preserve"> </w:t>
      </w:r>
      <w:r>
        <w:rPr>
          <w:b/>
        </w:rPr>
        <w:br/>
      </w:r>
      <w:r>
        <w:t>[COM(2020) 950 final]</w:t>
      </w:r>
    </w:p>
    <w:p w:rsidRPr="00DC308B" w:rsidR="00646AC2" w:rsidP="00FE7A9F" w:rsidRDefault="00987A80" w14:paraId="5B3BE56F" w14:textId="27F86578">
      <w:pPr>
        <w:jc w:val="center"/>
      </w:pPr>
      <w:r>
        <w:t>[COM(2020) 564 final]</w:t>
      </w:r>
    </w:p>
    <w:p w:rsidRPr="00DC308B" w:rsidR="009B30AA" w:rsidP="00BC3F01" w:rsidRDefault="009B30AA" w14:paraId="5B3BE570" w14:textId="77777777">
      <w:pPr>
        <w:jc w:val="center"/>
      </w:pPr>
    </w:p>
    <w:p w:rsidRPr="00DC308B" w:rsidR="00704FBB" w:rsidP="00BC3F01" w:rsidRDefault="007F5E0D" w14:paraId="5B3BE581" w14:textId="7D266FC0">
      <w:pPr>
        <w:jc w:val="center"/>
        <w:rPr>
          <w:b/>
        </w:rPr>
      </w:pPr>
      <w:r>
        <w:t xml:space="preserve">Raportor: </w:t>
      </w:r>
      <w:proofErr w:type="spellStart"/>
      <w:r>
        <w:rPr>
          <w:b/>
        </w:rPr>
        <w:t>Lutz</w:t>
      </w:r>
      <w:proofErr w:type="spellEnd"/>
      <w:r>
        <w:rPr>
          <w:b/>
        </w:rPr>
        <w:t xml:space="preserve"> RIBBE</w:t>
      </w:r>
    </w:p>
    <w:p w:rsidRPr="00DC308B" w:rsidR="00E32DC6" w:rsidP="00BC3F01" w:rsidRDefault="00E32DC6" w14:paraId="5B3BE582" w14:textId="77777777"/>
    <w:p w:rsidRPr="00DC308B" w:rsidR="00E32DC6" w:rsidP="00BC3F01" w:rsidRDefault="00E32DC6" w14:paraId="5B3BE583" w14:textId="77777777"/>
    <w:p w:rsidRPr="00DC308B" w:rsidR="00E32DC6" w:rsidP="00BC3F01" w:rsidRDefault="00E32DC6" w14:paraId="5B3BE584" w14:textId="77777777">
      <w:pPr>
        <w:sectPr w:rsidRPr="00DC308B" w:rsidR="00E32DC6" w:rsidSect="00BD2EB9">
          <w:footerReference w:type="default" r:id="rId8"/>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828"/>
        <w:gridCol w:w="5245"/>
      </w:tblGrid>
      <w:tr w:rsidRPr="00DC308B" w:rsidR="0011656A" w:rsidTr="00FF06C5" w14:paraId="5B3BE5A6" w14:textId="77777777">
        <w:tc>
          <w:tcPr>
            <w:tcW w:w="3828" w:type="dxa"/>
          </w:tcPr>
          <w:p w:rsidRPr="00DC308B" w:rsidR="0011656A" w:rsidP="00BC3F01" w:rsidRDefault="0090053A" w14:paraId="5B3BE5A4" w14:textId="36EC7404">
            <w:pPr>
              <w:jc w:val="left"/>
            </w:pPr>
            <w:r>
              <w:lastRenderedPageBreak/>
              <w:t xml:space="preserve">Sesizări </w:t>
            </w:r>
          </w:p>
        </w:tc>
        <w:tc>
          <w:tcPr>
            <w:tcW w:w="5245" w:type="dxa"/>
          </w:tcPr>
          <w:p w:rsidRPr="00DC308B" w:rsidR="0011656A" w:rsidRDefault="00E271C6" w14:paraId="5B3BE5A5" w14:textId="57DECFAF">
            <w:pPr>
              <w:jc w:val="left"/>
            </w:pPr>
            <w:r>
              <w:t>Comisia Europeană, 11/11/2020 și 27/11/2020</w:t>
            </w:r>
          </w:p>
        </w:tc>
      </w:tr>
      <w:tr w:rsidRPr="00DC308B" w:rsidR="0016503F" w:rsidTr="00FF06C5" w14:paraId="5B3BE5A9" w14:textId="77777777">
        <w:trPr>
          <w:trHeight w:val="251"/>
        </w:trPr>
        <w:tc>
          <w:tcPr>
            <w:tcW w:w="3828" w:type="dxa"/>
          </w:tcPr>
          <w:p w:rsidRPr="00DC308B" w:rsidR="0016503F" w:rsidP="00BC3F01" w:rsidRDefault="0016503F" w14:paraId="5B3BE5A7" w14:textId="77777777">
            <w:pPr>
              <w:jc w:val="left"/>
            </w:pPr>
            <w:r>
              <w:t>Baza procedurală</w:t>
            </w:r>
          </w:p>
        </w:tc>
        <w:tc>
          <w:tcPr>
            <w:tcW w:w="5245" w:type="dxa"/>
          </w:tcPr>
          <w:p w:rsidRPr="00DC308B" w:rsidR="0016503F" w:rsidP="00DC308B" w:rsidRDefault="0016503F" w14:paraId="5B3BE5A8" w14:textId="3C895295">
            <w:r>
              <w:t>Articolul 304 din Tratatul privind funcționarea Uniunii Europene</w:t>
            </w:r>
          </w:p>
        </w:tc>
      </w:tr>
      <w:tr w:rsidRPr="00DC308B" w:rsidR="00243E36" w:rsidTr="00FF06C5" w14:paraId="5B3BE5AF" w14:textId="77777777">
        <w:tc>
          <w:tcPr>
            <w:tcW w:w="3828" w:type="dxa"/>
          </w:tcPr>
          <w:p w:rsidRPr="00DC308B" w:rsidR="00243E36" w:rsidP="00BC3F01" w:rsidRDefault="00243E36" w14:paraId="5B3BE5AD" w14:textId="04655BF1">
            <w:pPr>
              <w:jc w:val="left"/>
            </w:pPr>
          </w:p>
        </w:tc>
        <w:tc>
          <w:tcPr>
            <w:tcW w:w="5245" w:type="dxa"/>
          </w:tcPr>
          <w:p w:rsidRPr="00DC308B" w:rsidR="00243E36" w:rsidP="00734BAF" w:rsidRDefault="00243E36" w14:paraId="5B3BE5AE" w14:textId="4C160908">
            <w:pPr>
              <w:jc w:val="left"/>
            </w:pPr>
          </w:p>
        </w:tc>
      </w:tr>
      <w:tr w:rsidRPr="00DC308B" w:rsidR="00DF5B64" w:rsidTr="00FF06C5" w14:paraId="5B3BE5C4" w14:textId="77777777">
        <w:tc>
          <w:tcPr>
            <w:tcW w:w="3828" w:type="dxa"/>
          </w:tcPr>
          <w:p w:rsidRPr="00DC308B" w:rsidR="00DF5B64" w:rsidP="00BC3F01" w:rsidRDefault="00AD4B4F" w14:paraId="5B3BE5C2" w14:textId="77777777">
            <w:pPr>
              <w:jc w:val="left"/>
            </w:pPr>
            <w:r>
              <w:t>Secțiunea competentă</w:t>
            </w:r>
          </w:p>
        </w:tc>
        <w:tc>
          <w:tcPr>
            <w:tcW w:w="5245" w:type="dxa"/>
          </w:tcPr>
          <w:p w:rsidRPr="00DC308B" w:rsidR="00DF5B64" w:rsidP="00DC308B" w:rsidRDefault="004B717F" w14:paraId="5B3BE5C3" w14:textId="6AE91C48">
            <w:r>
              <w:t xml:space="preserve">Secțiunea pentru transporturi, energie, infrastructură și societatea informațională </w:t>
            </w:r>
          </w:p>
        </w:tc>
      </w:tr>
      <w:tr w:rsidRPr="00DC308B" w:rsidR="00A156E6" w:rsidTr="00FF06C5" w14:paraId="5B3BE5C7" w14:textId="77777777">
        <w:tc>
          <w:tcPr>
            <w:tcW w:w="3828" w:type="dxa"/>
          </w:tcPr>
          <w:p w:rsidRPr="00DC308B" w:rsidR="00A156E6" w:rsidP="00BC3F01" w:rsidRDefault="00A156E6" w14:paraId="5B3BE5C5" w14:textId="77777777">
            <w:pPr>
              <w:jc w:val="left"/>
            </w:pPr>
            <w:r>
              <w:t>Data adoptării în secțiune</w:t>
            </w:r>
          </w:p>
        </w:tc>
        <w:tc>
          <w:tcPr>
            <w:tcW w:w="5245" w:type="dxa"/>
          </w:tcPr>
          <w:p w:rsidRPr="00DC308B" w:rsidR="00A156E6" w:rsidRDefault="00DC311E" w14:paraId="5B3BE5C6" w14:textId="0DE01FEF">
            <w:pPr>
              <w:jc w:val="left"/>
            </w:pPr>
            <w:r>
              <w:t>09/03/2021</w:t>
            </w:r>
          </w:p>
        </w:tc>
      </w:tr>
      <w:tr w:rsidRPr="00DC308B" w:rsidR="00A156E6" w:rsidTr="00FF06C5" w14:paraId="5B3BE5CA" w14:textId="77777777">
        <w:tc>
          <w:tcPr>
            <w:tcW w:w="3828" w:type="dxa"/>
          </w:tcPr>
          <w:p w:rsidRPr="00DC308B" w:rsidR="00A156E6" w:rsidP="00BC3F01" w:rsidRDefault="00A156E6" w14:paraId="5B3BE5C8" w14:textId="77777777">
            <w:pPr>
              <w:jc w:val="left"/>
            </w:pPr>
            <w:r>
              <w:t>Data adoptării în sesiunea plenară</w:t>
            </w:r>
          </w:p>
        </w:tc>
        <w:tc>
          <w:tcPr>
            <w:tcW w:w="5245" w:type="dxa"/>
          </w:tcPr>
          <w:p w:rsidRPr="00DC308B" w:rsidR="00A156E6" w:rsidP="00F93170" w:rsidRDefault="00DC311E" w14:paraId="5B3BE5C9" w14:textId="2A5E46A6">
            <w:pPr>
              <w:jc w:val="left"/>
            </w:pPr>
            <w:r>
              <w:t>24/03/2021</w:t>
            </w:r>
          </w:p>
        </w:tc>
      </w:tr>
      <w:tr w:rsidRPr="00DC308B" w:rsidR="00BA1290" w:rsidTr="00FF06C5" w14:paraId="5B3BE5CD" w14:textId="77777777">
        <w:tc>
          <w:tcPr>
            <w:tcW w:w="3828" w:type="dxa"/>
          </w:tcPr>
          <w:p w:rsidRPr="00DC308B" w:rsidR="00BA1290" w:rsidP="00BC3F01" w:rsidRDefault="00BA1290" w14:paraId="5B3BE5CB" w14:textId="77777777">
            <w:pPr>
              <w:jc w:val="left"/>
            </w:pPr>
            <w:r>
              <w:t>Sesiunea plenară nr.</w:t>
            </w:r>
          </w:p>
        </w:tc>
        <w:tc>
          <w:tcPr>
            <w:tcW w:w="5245" w:type="dxa"/>
          </w:tcPr>
          <w:p w:rsidRPr="00DC308B" w:rsidR="00BA1290" w:rsidP="00BC3F01" w:rsidRDefault="00313E47" w14:paraId="5B3BE5CC" w14:textId="7DC91A0E">
            <w:pPr>
              <w:jc w:val="left"/>
            </w:pPr>
            <w:r>
              <w:t>559</w:t>
            </w:r>
          </w:p>
        </w:tc>
      </w:tr>
      <w:tr w:rsidRPr="00DC308B" w:rsidR="00A156E6" w:rsidTr="00FF06C5" w14:paraId="5B3BE5D0" w14:textId="77777777">
        <w:tc>
          <w:tcPr>
            <w:tcW w:w="3828" w:type="dxa"/>
          </w:tcPr>
          <w:p w:rsidRPr="00DC308B" w:rsidR="00D423D4" w:rsidP="00BC3F01" w:rsidRDefault="0043024C" w14:paraId="5B3BE5CE" w14:textId="16D36AA3">
            <w:pPr>
              <w:jc w:val="left"/>
            </w:pPr>
            <w:r>
              <w:t>Rezultatul votului</w:t>
            </w:r>
            <w:r w:rsidR="00FF06C5">
              <w:t xml:space="preserve"> </w:t>
            </w:r>
            <w:r>
              <w:br/>
              <w:t>(voturi pentru/voturi împotrivă/abțineri)</w:t>
            </w:r>
          </w:p>
        </w:tc>
        <w:tc>
          <w:tcPr>
            <w:tcW w:w="5245" w:type="dxa"/>
            <w:vAlign w:val="bottom"/>
          </w:tcPr>
          <w:p w:rsidRPr="00DC308B" w:rsidR="00A156E6" w:rsidP="00F93170" w:rsidRDefault="00B439A3" w14:paraId="5B3BE5CF" w14:textId="5C329424">
            <w:pPr>
              <w:jc w:val="left"/>
            </w:pPr>
            <w:r>
              <w:t>236</w:t>
            </w:r>
            <w:r w:rsidR="00F93170">
              <w:t>/4/6</w:t>
            </w:r>
          </w:p>
        </w:tc>
      </w:tr>
    </w:tbl>
    <w:p w:rsidRPr="00DC308B" w:rsidR="0090053A" w:rsidP="00BC3F01" w:rsidRDefault="0090053A" w14:paraId="5B3BE5D1" w14:textId="77777777"/>
    <w:p w:rsidRPr="00DC308B" w:rsidR="00646AC2" w:rsidP="00BC3F01" w:rsidRDefault="00646AC2" w14:paraId="5B3BE5D2" w14:textId="77777777">
      <w:r>
        <w:br w:type="page"/>
      </w:r>
    </w:p>
    <w:p w:rsidRPr="00DC308B" w:rsidR="00011D33" w:rsidP="00BC3F01" w:rsidRDefault="00011D33" w14:paraId="5B3BE5D3" w14:textId="77777777">
      <w:pPr>
        <w:pStyle w:val="Heading1"/>
        <w:keepNext/>
        <w:rPr>
          <w:b/>
        </w:rPr>
      </w:pPr>
      <w:r>
        <w:rPr>
          <w:b/>
        </w:rPr>
        <w:lastRenderedPageBreak/>
        <w:t>Concluzii și recomandări</w:t>
      </w:r>
    </w:p>
    <w:p w:rsidRPr="00DC308B" w:rsidR="00011D33" w:rsidP="00BC3F01" w:rsidRDefault="00011D33" w14:paraId="5B3BE5D4" w14:textId="77777777">
      <w:pPr>
        <w:keepNext/>
      </w:pPr>
    </w:p>
    <w:p w:rsidRPr="00DC308B" w:rsidR="00896899" w:rsidP="00896899" w:rsidRDefault="00896899" w14:paraId="048AE4BC" w14:textId="3B819771">
      <w:pPr>
        <w:pStyle w:val="Heading2"/>
      </w:pPr>
      <w:r>
        <w:t xml:space="preserve">Consiliul Economic și Social European (CESE) este impresionat de acribia și precizia de care a dat dovadă Comisia în documentarea și evaluarea dezvoltării uniunii energetice. Maniera de elaborare și evaluare a planurilor naționale privind energia și clima (PNEC) reprezintă o dovadă a funcționării guvernanței la nivelul uniunii energetice. </w:t>
      </w:r>
    </w:p>
    <w:p w:rsidRPr="00DC308B" w:rsidR="00896899" w:rsidP="00896899" w:rsidRDefault="00896899" w14:paraId="5F75B2B9" w14:textId="77777777"/>
    <w:p w:rsidRPr="00DC308B" w:rsidR="00896899" w:rsidP="00896899" w:rsidRDefault="00896899" w14:paraId="4156466A" w14:textId="0B8171EA">
      <w:pPr>
        <w:pStyle w:val="Heading2"/>
      </w:pPr>
      <w:r>
        <w:t>CESE ia act cu ușurare de faptul că, deși unele state membre înregistrează întârzieri clare în realizarea obiectivelor, obiectivele energetice și climatice pentru 2020 au fost, în general, atinse. Totuși, acest lucru nu ar trebui să fie un motiv de satisfacție. Obiectivele pentru următorii 30 de ani sunt mult mai ambițioase, încă din primul deceniu care a început în anul 2020. Ritmul transformării trebuie să fie accelerat în mod semnificativ, dar situația socială și economică din fiecare stat membru nu ar trebui trecută cu vederea în cadrul procesului, deoarece acest lucru ar putea pune în pericol acceptarea socială a investițiilor și a reformelor care vizează accelerarea tranziției energetice. Transformarea energetică este, de asemenea, periclitată dacă politica promite participarea unei mari părți a societății, dar, în realitate, nu ia în serios această promisiune și nu o pune în aplicare.</w:t>
      </w:r>
    </w:p>
    <w:p w:rsidRPr="00DC308B" w:rsidR="00896899" w:rsidP="00896899" w:rsidRDefault="00896899" w14:paraId="25D816DE" w14:textId="77777777"/>
    <w:p w:rsidRPr="00DC308B" w:rsidR="00896899" w:rsidP="00896899" w:rsidRDefault="00896899" w14:paraId="6DF20BA0" w14:textId="7CBCBB67">
      <w:pPr>
        <w:pStyle w:val="Heading2"/>
      </w:pPr>
      <w:r>
        <w:t xml:space="preserve">Este cu atât mai important să nu se țină seama doar de obiectivele (climatice) globale, ci și de cele specifice pe care Comisia însăși le-a stabilit în strategia-cadru pentru o uniune energetică </w:t>
      </w:r>
      <w:proofErr w:type="spellStart"/>
      <w:r>
        <w:t>rezilientă</w:t>
      </w:r>
      <w:proofErr w:type="spellEnd"/>
      <w:r>
        <w:t xml:space="preserve"> și în pachetul „Energie curată pentru toți europenii”. Or, în acest sens, rezultatul este cu mult sub așteptări.</w:t>
      </w:r>
    </w:p>
    <w:p w:rsidRPr="00DC308B" w:rsidR="00896899" w:rsidP="00896899" w:rsidRDefault="00896899" w14:paraId="79B4F62D" w14:textId="77777777"/>
    <w:p w:rsidRPr="00DC308B" w:rsidR="00896899" w:rsidP="00896899" w:rsidRDefault="00896899" w14:paraId="2E5522B2" w14:textId="2F4C4DAA">
      <w:pPr>
        <w:pStyle w:val="Heading2"/>
      </w:pPr>
      <w:r>
        <w:t>Obiectivul principal avut în vedere de Comisie în strategia-cadru este ca cetățenii să fie în centrul uniunii energetice. În comunicarea sa cu privire la starea uniunii energetice, Comisia nu face nicio referire la modul în care se va realiza acest obiectiv și la strategiile ce urmează a fi puse în aplicare în viitor în scopul atingerii obiectivului. Acest lucru este complet inacceptabil pentru CESE.</w:t>
      </w:r>
    </w:p>
    <w:p w:rsidRPr="00DC308B" w:rsidR="00896899" w:rsidP="00896899" w:rsidRDefault="00896899" w14:paraId="1320D45E" w14:textId="77777777"/>
    <w:p w:rsidRPr="00DC308B" w:rsidR="00896899" w:rsidP="00896899" w:rsidRDefault="00896899" w14:paraId="6D7FDB7C" w14:textId="20141ACE">
      <w:pPr>
        <w:pStyle w:val="Heading2"/>
      </w:pPr>
      <w:r>
        <w:t>În evaluarea PNEC-urilor, Comisia consideră că în PNEC-urile statelor membre nu se acordă suficientă atenție dezvoltării energiei comunitare. Acest lucru este îngrijorător. Este dezamăgitor faptul că, în afară de apelul foarte general adresat statelor membre, Comisia nu trage nicio concluzie în acest sens. Faptul că obiectivele ambițioase formulate în pachetul „Energie curată pentru toți europenii” și în strategia-cadru pentru o uniune energetică nu sunt monitorizate cu strictețe nu este doar în detrimentul uniunii energetice, ci pune sub semnul întrebării și credibilitatea politicii europene în ansamblu.</w:t>
      </w:r>
    </w:p>
    <w:p w:rsidRPr="00DC308B" w:rsidR="00896899" w:rsidP="00896899" w:rsidRDefault="00896899" w14:paraId="5D140CDF" w14:textId="77777777"/>
    <w:p w:rsidRPr="00DC308B" w:rsidR="00896899" w:rsidP="00896899" w:rsidRDefault="00896899" w14:paraId="653EA558" w14:textId="77777777">
      <w:pPr>
        <w:pStyle w:val="Heading2"/>
      </w:pPr>
      <w:r>
        <w:t>De aceea, CESE consideră că este necesar ca, în rapoartele sale viitoare, Comisia să examineze mai îndeaproape nivelul și calitatea punerii în aplicare, respectării și asigurării aplicării celui de-al treilea pachet privind energia în statele membre, în special în ceea ce privește modul în care acestea își propun să pună „cetățenii în prim-plan”. În trecut, punerea în aplicare a normelor energetice s-a realizat cu întârziere și, deseori, fără a fi în beneficiul cetățenilor.</w:t>
      </w:r>
    </w:p>
    <w:p w:rsidRPr="00DC308B" w:rsidR="00896899" w:rsidP="00896899" w:rsidRDefault="00896899" w14:paraId="2F5A151C" w14:textId="77777777"/>
    <w:p w:rsidRPr="00DC308B" w:rsidR="00011D33" w:rsidP="00896899" w:rsidRDefault="00896899" w14:paraId="5B3BE5D5" w14:textId="36611608">
      <w:pPr>
        <w:pStyle w:val="Heading2"/>
      </w:pPr>
      <w:r>
        <w:t xml:space="preserve">De asemenea, este necesară o privire mai critică referitoare la alte trei obiective ale uniunii energetice: reducerea dependenței energetice prin reducerea importurilor de energie, eliminarea subvențiilor acordate pentru producerea de energie din surse poluante și dăunătoare mediului și asumarea unui rol de lider în domeniul energiei din surse regenerabile, al eficienței energetice și </w:t>
      </w:r>
      <w:r>
        <w:lastRenderedPageBreak/>
        <w:t xml:space="preserve">al </w:t>
      </w:r>
      <w:proofErr w:type="spellStart"/>
      <w:r>
        <w:t>electromobilității</w:t>
      </w:r>
      <w:proofErr w:type="spellEnd"/>
      <w:r>
        <w:t>. Aceste trei obiective nu au fost atinse, după cum se arată în comunicările Comisiei. Nu se face însă nicio referire la motive. De asemenea, nu se menționează în niciun fel învățămintele trase din eșecuri și nici modalitățile posibile de acțiune în viitor, de exemplu în cazul fondului de redresare.</w:t>
      </w:r>
    </w:p>
    <w:p w:rsidRPr="00DC308B" w:rsidR="00896899" w:rsidP="0092523D" w:rsidRDefault="00896899" w14:paraId="7184AFC6" w14:textId="1CEB306D"/>
    <w:p w:rsidRPr="00DC308B" w:rsidR="000D6859" w:rsidP="00C146D8" w:rsidRDefault="000D6859" w14:paraId="05AD93C1" w14:textId="45970174">
      <w:pPr>
        <w:pStyle w:val="Heading2"/>
      </w:pPr>
      <w:r>
        <w:t>CESE consideră că PECN ale statelor membre demonstrează o lipsă de coerență în politica energetică europeană. CESE consideră, de asemenea, că majoritatea PECN sunt prea nespecifice, în special în ceea ce privește aspectele importante ale securității energetice și ale tranziției juste.</w:t>
      </w:r>
    </w:p>
    <w:p w:rsidRPr="00DC308B" w:rsidR="000D6859" w:rsidP="0092523D" w:rsidRDefault="000D6859" w14:paraId="6478A707" w14:textId="77777777"/>
    <w:p w:rsidRPr="00DC308B" w:rsidR="00896899" w:rsidP="00DC308B" w:rsidRDefault="00896899" w14:paraId="46D924C6" w14:textId="25A0851C">
      <w:pPr>
        <w:pStyle w:val="Heading2"/>
        <w:keepNext/>
      </w:pPr>
      <w:r>
        <w:t>Prin urmare, CESE solicită Comisiei să acorde mai multă atenție, în cadrul evaluării PNEC, adecvării strategiilor pentru o tranziție justă, în special realizării următoarelor obiective:</w:t>
      </w:r>
    </w:p>
    <w:p w:rsidRPr="00DC308B" w:rsidR="00896899" w:rsidP="00DC308B" w:rsidRDefault="00896899" w14:paraId="1364938D" w14:textId="77777777">
      <w:pPr>
        <w:keepNext/>
      </w:pPr>
    </w:p>
    <w:p w:rsidRPr="00DC308B" w:rsidR="00896899" w:rsidP="0092523D" w:rsidRDefault="00896899" w14:paraId="147D56FA" w14:textId="1A1F463C">
      <w:pPr>
        <w:pStyle w:val="Heading2"/>
        <w:numPr>
          <w:ilvl w:val="0"/>
          <w:numId w:val="45"/>
        </w:numPr>
        <w:tabs>
          <w:tab w:val="clear" w:pos="0"/>
        </w:tabs>
        <w:ind w:left="850"/>
      </w:pPr>
      <w:r>
        <w:t>facilitarea schimbării locurilor de muncă;</w:t>
      </w:r>
    </w:p>
    <w:p w:rsidRPr="00DC308B" w:rsidR="00896899" w:rsidP="0092523D" w:rsidRDefault="00896899" w14:paraId="277E64A0" w14:textId="00BF0C79">
      <w:pPr>
        <w:pStyle w:val="CommentText"/>
        <w:numPr>
          <w:ilvl w:val="0"/>
          <w:numId w:val="45"/>
        </w:numPr>
        <w:tabs>
          <w:tab w:val="clear" w:pos="0"/>
        </w:tabs>
        <w:spacing w:line="288" w:lineRule="auto"/>
        <w:ind w:left="850"/>
      </w:pPr>
      <w:r>
        <w:rPr>
          <w:sz w:val="22"/>
          <w:szCs w:val="22"/>
        </w:rPr>
        <w:t>acordarea de sprijin lucrătorilor disponibilizați ca urmare a decarbonizării (orice loc de muncă pierdut ar trebui să fie înlocuit cel puțin cu un alt loc de muncă echivalent);</w:t>
      </w:r>
    </w:p>
    <w:p w:rsidRPr="00DC308B" w:rsidR="00896899" w:rsidP="0092523D" w:rsidRDefault="00896899" w14:paraId="36E7239E" w14:textId="3C4E2705">
      <w:pPr>
        <w:pStyle w:val="CommentText"/>
        <w:numPr>
          <w:ilvl w:val="0"/>
          <w:numId w:val="45"/>
        </w:numPr>
        <w:tabs>
          <w:tab w:val="clear" w:pos="0"/>
        </w:tabs>
        <w:spacing w:line="288" w:lineRule="auto"/>
        <w:ind w:left="850"/>
        <w:rPr>
          <w:sz w:val="22"/>
          <w:szCs w:val="22"/>
        </w:rPr>
      </w:pPr>
      <w:r>
        <w:rPr>
          <w:sz w:val="22"/>
          <w:szCs w:val="22"/>
        </w:rPr>
        <w:t>combaterea sărăciei energetice, precum și compensarea efectelor distributive degresive, precum și</w:t>
      </w:r>
    </w:p>
    <w:p w:rsidRPr="00DC308B" w:rsidR="00E6375E" w:rsidP="0092523D" w:rsidRDefault="00E6375E" w14:paraId="4776540A" w14:textId="1D3BB2FA">
      <w:pPr>
        <w:pStyle w:val="CommentText"/>
        <w:numPr>
          <w:ilvl w:val="0"/>
          <w:numId w:val="45"/>
        </w:numPr>
        <w:tabs>
          <w:tab w:val="clear" w:pos="0"/>
        </w:tabs>
        <w:spacing w:line="288" w:lineRule="auto"/>
        <w:ind w:left="850"/>
        <w:rPr>
          <w:sz w:val="22"/>
          <w:szCs w:val="22"/>
        </w:rPr>
      </w:pPr>
      <w:r>
        <w:rPr>
          <w:sz w:val="22"/>
          <w:szCs w:val="22"/>
        </w:rPr>
        <w:t>valorificarea potențialului economic regional care decurge din sursele regenerabile de energie și noi forme de participare și implicare în producția de energie electrică.</w:t>
      </w:r>
    </w:p>
    <w:p w:rsidRPr="00DC308B" w:rsidR="00011D33" w:rsidP="00F20CA6" w:rsidRDefault="00011D33" w14:paraId="5B3BE5DA" w14:textId="164DDCB1"/>
    <w:p w:rsidRPr="00DC308B" w:rsidR="00011D33" w:rsidP="00BC3F01" w:rsidRDefault="00011D33" w14:paraId="5B3BE5DB" w14:textId="74F84A54">
      <w:pPr>
        <w:pStyle w:val="Heading1"/>
        <w:keepNext/>
        <w:rPr>
          <w:b/>
        </w:rPr>
      </w:pPr>
      <w:r>
        <w:rPr>
          <w:b/>
        </w:rPr>
        <w:t>Observații generale privind documentele Comisiei</w:t>
      </w:r>
    </w:p>
    <w:p w:rsidRPr="00DC308B" w:rsidR="00011D33" w:rsidP="00BC3F01" w:rsidRDefault="00011D33" w14:paraId="5B3BE5DC" w14:textId="77777777">
      <w:pPr>
        <w:keepNext/>
      </w:pPr>
    </w:p>
    <w:p w:rsidRPr="00DC308B" w:rsidR="00DF21DA" w:rsidP="00DC308B" w:rsidRDefault="00DF21DA" w14:paraId="04751B43" w14:textId="355E581B">
      <w:pPr>
        <w:pStyle w:val="Heading2"/>
        <w:keepNext/>
      </w:pPr>
      <w:r>
        <w:t xml:space="preserve">În comunicarea sa din 25 februarie 2015, Comisia a prezentat „O strategie-cadru pentru o uniune energetică </w:t>
      </w:r>
      <w:proofErr w:type="spellStart"/>
      <w:r>
        <w:t>rezilientă</w:t>
      </w:r>
      <w:proofErr w:type="spellEnd"/>
      <w:r>
        <w:t xml:space="preserve"> cu o politică prospectivă în domeniul schimbărilor climatice”</w:t>
      </w:r>
      <w:r w:rsidRPr="00DC308B">
        <w:rPr>
          <w:sz w:val="24"/>
          <w:szCs w:val="24"/>
          <w:vertAlign w:val="superscript"/>
        </w:rPr>
        <w:footnoteReference w:id="1"/>
      </w:r>
      <w:r>
        <w:t>. Strategia a</w:t>
      </w:r>
      <w:r w:rsidR="00FF06C5">
        <w:t> </w:t>
      </w:r>
      <w:r>
        <w:t xml:space="preserve">vizat următoarele obiective: </w:t>
      </w:r>
    </w:p>
    <w:p w:rsidRPr="00DC308B" w:rsidR="00DF21DA" w:rsidP="00DC308B" w:rsidRDefault="00DF21DA" w14:paraId="1BA38B8B" w14:textId="77777777">
      <w:pPr>
        <w:pStyle w:val="Heading2"/>
        <w:keepNext/>
        <w:numPr>
          <w:ilvl w:val="0"/>
          <w:numId w:val="0"/>
        </w:numPr>
      </w:pPr>
    </w:p>
    <w:p w:rsidRPr="00DC308B" w:rsidR="00DF21DA" w:rsidP="00646DA7" w:rsidRDefault="00DF21DA" w14:paraId="6C2D21CB" w14:textId="3B6DE257">
      <w:pPr>
        <w:pStyle w:val="Heading2"/>
        <w:numPr>
          <w:ilvl w:val="0"/>
          <w:numId w:val="42"/>
        </w:numPr>
        <w:ind w:left="927"/>
      </w:pPr>
      <w:r>
        <w:t>securitate energetică, inclusiv prin reducerea dependenței de importurile de energie;</w:t>
      </w:r>
    </w:p>
    <w:p w:rsidRPr="00DC308B" w:rsidR="00DF21DA" w:rsidP="00646DA7" w:rsidRDefault="00DF21DA" w14:paraId="1A7661D5" w14:textId="369773CF">
      <w:pPr>
        <w:pStyle w:val="Heading2"/>
        <w:numPr>
          <w:ilvl w:val="0"/>
          <w:numId w:val="42"/>
        </w:numPr>
        <w:ind w:left="927"/>
      </w:pPr>
      <w:r>
        <w:t>o piață europeană a energiei pe deplin integrată;</w:t>
      </w:r>
    </w:p>
    <w:p w:rsidRPr="00DC308B" w:rsidR="00DF21DA" w:rsidP="00646DA7" w:rsidRDefault="00DF21DA" w14:paraId="4A93F03C" w14:textId="77777777">
      <w:pPr>
        <w:pStyle w:val="Heading2"/>
        <w:numPr>
          <w:ilvl w:val="0"/>
          <w:numId w:val="42"/>
        </w:numPr>
        <w:ind w:left="927"/>
      </w:pPr>
      <w:r>
        <w:t xml:space="preserve">o economie durabilă, cu emisii scăzute de carbon și fără efecte negative asupra climei; </w:t>
      </w:r>
    </w:p>
    <w:p w:rsidRPr="00DC308B" w:rsidR="00DF21DA" w:rsidP="00646DA7" w:rsidRDefault="00DF21DA" w14:paraId="28740F0E" w14:textId="38817C2B">
      <w:pPr>
        <w:pStyle w:val="Heading2"/>
        <w:numPr>
          <w:ilvl w:val="0"/>
          <w:numId w:val="42"/>
        </w:numPr>
        <w:ind w:left="927"/>
      </w:pPr>
      <w:r>
        <w:t>cercetare, inovare și competitivitate, astfel încât Europa să își poată asuma rolul de lider mondial în domeniul energiei din surse regenerabile;</w:t>
      </w:r>
    </w:p>
    <w:p w:rsidRPr="00DC308B" w:rsidR="00DF21DA" w:rsidP="00646DA7" w:rsidRDefault="00DF21DA" w14:paraId="07725D16" w14:textId="1E57AFBF">
      <w:pPr>
        <w:pStyle w:val="Heading2"/>
        <w:numPr>
          <w:ilvl w:val="0"/>
          <w:numId w:val="42"/>
        </w:numPr>
        <w:ind w:left="927"/>
      </w:pPr>
      <w:r>
        <w:t>calificarea lucrătorilor europeni pentru sectorul energetic de mâine;</w:t>
      </w:r>
    </w:p>
    <w:p w:rsidRPr="00DC308B" w:rsidR="00345823" w:rsidP="00646DA7" w:rsidRDefault="00DF21DA" w14:paraId="08497E97" w14:textId="4969D608">
      <w:pPr>
        <w:pStyle w:val="Heading2"/>
        <w:numPr>
          <w:ilvl w:val="0"/>
          <w:numId w:val="42"/>
        </w:numPr>
        <w:ind w:left="927"/>
      </w:pPr>
      <w:r>
        <w:t>încrederea investitorilor prin semnale de preț care să reflecte necesitățile pe termen lung și obiectivele de politică.</w:t>
      </w:r>
    </w:p>
    <w:p w:rsidRPr="00DC308B" w:rsidR="00345823" w:rsidP="006A16D7" w:rsidRDefault="00345823" w14:paraId="068A23B3" w14:textId="4A2F5AAF">
      <w:pPr>
        <w:ind w:left="567" w:hanging="567"/>
      </w:pPr>
    </w:p>
    <w:p w:rsidRPr="00DC308B" w:rsidR="00DF21DA" w:rsidP="00DF21DA" w:rsidRDefault="00DF21DA" w14:paraId="15B6DB12" w14:textId="7907DF24">
      <w:pPr>
        <w:pStyle w:val="Heading2"/>
      </w:pPr>
      <w:r>
        <w:t>Însă, la momentul respectiv, Comisia sublinia că aspiră în primul rând la o uniune energetică „care pune cetățenii în prim-plan, în care cetățenii își asumă rolul de motor al tranziției energetice, beneficiază de noi tehnologii pentru a-și reduce facturile și participă activ la piață și, de asemenea, în care consumatorii vulnerabili sunt protejați”. În plus, a menționat că participarea părților interesate la conceperea uniunii energetice este prioritară, iar o tranziție corectă din punct de vedere social reprezintă un principiu fundamental pentru gestionarea tranziției energetice.</w:t>
      </w:r>
    </w:p>
    <w:p w:rsidRPr="00DC308B" w:rsidR="00DF21DA" w:rsidP="00DF21DA" w:rsidRDefault="00DF21DA" w14:paraId="5B16D218" w14:textId="4D5BD312"/>
    <w:p w:rsidRPr="00DC308B" w:rsidR="00DF21DA" w:rsidP="00DF21DA" w:rsidRDefault="00DF21DA" w14:paraId="56BD3DDE" w14:textId="2D33C6F4">
      <w:pPr>
        <w:pStyle w:val="Heading2"/>
      </w:pPr>
      <w:r>
        <w:lastRenderedPageBreak/>
        <w:t>Comisia a subliniat, de asemenea, necesitatea unei guvernanțe și monitorizări integrate a uniunii energetice. Prin Regulamentul (UE) 2018/1999 privind guvernanța, UE a creat un temei juridic de referință în acest sens. În temeiul acestui regulament, statele membre sunt obligate să prezinte în mod regulat planuri naționale integrate privind energia și clima (PNEC), în care trebuie să descrie și cum au contribuit la îndeplinirea obiectivelor uniunii energetice.</w:t>
      </w:r>
    </w:p>
    <w:p w:rsidRPr="00DC308B" w:rsidR="00DF21DA" w:rsidP="00DF21DA" w:rsidRDefault="00DF21DA" w14:paraId="79E74D5B" w14:textId="3AE94FE3"/>
    <w:p w:rsidRPr="00DC308B" w:rsidR="00DF21DA" w:rsidP="00DC308B" w:rsidRDefault="00DF21DA" w14:paraId="67165668" w14:textId="32DA7C3F">
      <w:pPr>
        <w:pStyle w:val="Heading2"/>
        <w:keepNext/>
      </w:pPr>
      <w:r>
        <w:t>În Raportul din 2020 privind starea uniunii energetice, Comisia prezintă progresele înregistrare, grupându-le în următoarele capitole:</w:t>
      </w:r>
    </w:p>
    <w:p w:rsidRPr="00DC308B" w:rsidR="00DF21DA" w:rsidP="00FF06C5" w:rsidRDefault="00DF21DA" w14:paraId="5EFDBC74" w14:textId="02DD3EE7">
      <w:pPr>
        <w:keepNext/>
        <w:spacing w:line="240" w:lineRule="auto"/>
      </w:pPr>
    </w:p>
    <w:p w:rsidRPr="00DC308B" w:rsidR="00DF21DA" w:rsidP="00DC308B" w:rsidRDefault="00DF21DA" w14:paraId="4733A4D4" w14:textId="4154DDF0">
      <w:pPr>
        <w:numPr>
          <w:ilvl w:val="0"/>
          <w:numId w:val="43"/>
        </w:numPr>
        <w:ind w:left="936" w:hanging="369"/>
      </w:pPr>
      <w:r>
        <w:t>decarbonizarea (inclusiv dezvoltarea energiilor din surse regenerabile);</w:t>
      </w:r>
    </w:p>
    <w:p w:rsidRPr="00DC308B" w:rsidR="00DF21DA" w:rsidP="00DC308B" w:rsidRDefault="00DF21DA" w14:paraId="23472811" w14:textId="33F90B19">
      <w:pPr>
        <w:numPr>
          <w:ilvl w:val="0"/>
          <w:numId w:val="43"/>
        </w:numPr>
        <w:ind w:left="936" w:hanging="369"/>
      </w:pPr>
      <w:r>
        <w:t>eficiența energetică, luând în considerare în special principiul „eficiența energetică pe primul loc”;</w:t>
      </w:r>
    </w:p>
    <w:p w:rsidRPr="00DC308B" w:rsidR="00DF21DA" w:rsidP="00DC308B" w:rsidRDefault="00DF21DA" w14:paraId="7BD8DFDA" w14:textId="1148932F">
      <w:pPr>
        <w:numPr>
          <w:ilvl w:val="0"/>
          <w:numId w:val="43"/>
        </w:numPr>
        <w:ind w:left="936" w:hanging="369"/>
      </w:pPr>
      <w:r>
        <w:t xml:space="preserve">securitatea energetică (inclusiv reducerea importurilor de energie în UE și creșterea flexibilității și rezilienței sistemelor energetice naționale); </w:t>
      </w:r>
    </w:p>
    <w:p w:rsidRPr="00DC308B" w:rsidR="00DF21DA" w:rsidP="00DC308B" w:rsidRDefault="00DF21DA" w14:paraId="4A109991" w14:textId="3240ECB1">
      <w:pPr>
        <w:numPr>
          <w:ilvl w:val="0"/>
          <w:numId w:val="43"/>
        </w:numPr>
        <w:ind w:left="936" w:hanging="369"/>
      </w:pPr>
      <w:r>
        <w:t>piețele interne ale energiei;</w:t>
      </w:r>
    </w:p>
    <w:p w:rsidRPr="00DC308B" w:rsidR="00DF21DA" w:rsidP="00DC308B" w:rsidRDefault="00DF21DA" w14:paraId="79E034C0" w14:textId="70A87CB7">
      <w:pPr>
        <w:numPr>
          <w:ilvl w:val="0"/>
          <w:numId w:val="43"/>
        </w:numPr>
        <w:ind w:left="936" w:hanging="369"/>
      </w:pPr>
      <w:r>
        <w:t>cercetare, inovare și competitivitate.</w:t>
      </w:r>
    </w:p>
    <w:p w:rsidRPr="00DC308B" w:rsidR="00DF21DA" w:rsidP="00DC308B" w:rsidRDefault="00DF21DA" w14:paraId="2954AB3A" w14:textId="0AC57EE8">
      <w:pPr>
        <w:ind w:left="567"/>
      </w:pPr>
    </w:p>
    <w:p w:rsidRPr="00DC308B" w:rsidR="00DF21DA" w:rsidP="00DC308B" w:rsidRDefault="00093F6C" w14:paraId="3039A51D" w14:textId="36645A0E">
      <w:pPr>
        <w:pStyle w:val="Heading2"/>
        <w:numPr>
          <w:ilvl w:val="0"/>
          <w:numId w:val="0"/>
        </w:numPr>
        <w:ind w:left="567"/>
      </w:pPr>
      <w:r>
        <w:t>În plus, abordează subiectul referitor la „Uniunea energetică în contextul Pactului verde european”.</w:t>
      </w:r>
    </w:p>
    <w:p w:rsidRPr="00DC308B" w:rsidR="00DF21DA" w:rsidP="00DC308B" w:rsidRDefault="00DF21DA" w14:paraId="2E802998" w14:textId="77777777">
      <w:pPr>
        <w:ind w:firstLine="567"/>
      </w:pPr>
    </w:p>
    <w:p w:rsidRPr="00DC308B" w:rsidR="00DF21DA" w:rsidP="00DF21DA" w:rsidRDefault="00DF21DA" w14:paraId="05C880D1" w14:textId="021FA506">
      <w:pPr>
        <w:pStyle w:val="Heading2"/>
      </w:pPr>
      <w:r>
        <w:t xml:space="preserve">Pornind de la aceasta, Comisia prezintă idei privind „Susținerea redresării ecologice și a unei economii durabile”, examinând în primul rând strategiile existente pentru integrarea sistemului energetic și dezvoltarea hidrogenului în Europa. </w:t>
      </w:r>
    </w:p>
    <w:p w:rsidRPr="00DC308B" w:rsidR="00DF21DA" w:rsidP="00DF21DA" w:rsidRDefault="00DF21DA" w14:paraId="7802882C" w14:textId="77777777">
      <w:pPr>
        <w:pStyle w:val="Heading2"/>
        <w:numPr>
          <w:ilvl w:val="0"/>
          <w:numId w:val="0"/>
        </w:numPr>
      </w:pPr>
    </w:p>
    <w:p w:rsidRPr="00DC308B" w:rsidR="00DF21DA" w:rsidP="00DF21DA" w:rsidRDefault="00DF21DA" w14:paraId="142EED4F" w14:textId="580D0CAE">
      <w:pPr>
        <w:pStyle w:val="Heading2"/>
      </w:pPr>
      <w:r>
        <w:t xml:space="preserve">De asemenea, oferă justificări pentru necesitatea de a crește pragul de reducere a emisiilor de dioxid de carbon la cel puțin 55 % față de 1990 și anunță elaborarea unei strategii pentru reducerea emisiilor de metan, precum și o „Viziune privind energia </w:t>
      </w:r>
      <w:proofErr w:type="spellStart"/>
      <w:r>
        <w:t>offshore</w:t>
      </w:r>
      <w:proofErr w:type="spellEnd"/>
      <w:r>
        <w:t xml:space="preserve">”. În acest context, Comisia critică strategiile prezentate în PNEC de statele membre ca fiind adesea neclare și nu foarte specifice. </w:t>
      </w:r>
    </w:p>
    <w:p w:rsidRPr="00DC308B" w:rsidR="00DF21DA" w:rsidP="00DF21DA" w:rsidRDefault="00DF21DA" w14:paraId="6752A3C6" w14:textId="77777777"/>
    <w:p w:rsidRPr="00DC308B" w:rsidR="00DF21DA" w:rsidP="00DF21DA" w:rsidRDefault="00DF21DA" w14:paraId="6861C5FC" w14:textId="41E6A243">
      <w:pPr>
        <w:pStyle w:val="Heading2"/>
        <w:rPr>
          <w:noProof/>
        </w:rPr>
      </w:pPr>
      <w:r>
        <w:t xml:space="preserve">Comisia evaluează situația ca fiind per ansamblu nesatisfăcătoare, deși se constată că obiectivele pentru 2020 sunt în mare parte atinse la nivelul UE în ceea ce privește dezvoltarea energiilor din surse regenerabile. Unele state membre ar trebui „să facă mai multe progrese”. </w:t>
      </w:r>
    </w:p>
    <w:p w:rsidRPr="00DC308B" w:rsidR="00DF21DA" w:rsidP="00DF21DA" w:rsidRDefault="00DF21DA" w14:paraId="09F53356" w14:textId="77777777">
      <w:pPr>
        <w:pStyle w:val="Heading2"/>
        <w:numPr>
          <w:ilvl w:val="0"/>
          <w:numId w:val="0"/>
        </w:numPr>
        <w:rPr>
          <w:noProof/>
        </w:rPr>
      </w:pPr>
    </w:p>
    <w:p w:rsidRPr="00DC308B" w:rsidR="00DF21DA" w:rsidP="00DF21DA" w:rsidRDefault="00DF21DA" w14:paraId="1EBF151B" w14:textId="3839AFE9">
      <w:pPr>
        <w:pStyle w:val="Heading2"/>
        <w:rPr>
          <w:noProof/>
        </w:rPr>
      </w:pPr>
      <w:r>
        <w:t xml:space="preserve">Comisia îndeamnă insistent la intensificarea eforturilor în domeniul eficienței energetice; deficiențe majore se înregistrează în special cu privire la renovarea clădirilor. </w:t>
      </w:r>
    </w:p>
    <w:p w:rsidRPr="00DC308B" w:rsidR="00DF21DA" w:rsidP="00DF21DA" w:rsidRDefault="00DF21DA" w14:paraId="23995C64" w14:textId="77777777">
      <w:pPr>
        <w:pStyle w:val="Heading2"/>
        <w:numPr>
          <w:ilvl w:val="0"/>
          <w:numId w:val="0"/>
        </w:numPr>
        <w:rPr>
          <w:noProof/>
        </w:rPr>
      </w:pPr>
    </w:p>
    <w:p w:rsidRPr="00DC308B" w:rsidR="00DF21DA" w:rsidP="00DF21DA" w:rsidRDefault="00DF21DA" w14:paraId="4D7A28EA" w14:textId="181E5F81">
      <w:pPr>
        <w:pStyle w:val="Heading2"/>
        <w:rPr>
          <w:noProof/>
        </w:rPr>
      </w:pPr>
      <w:r>
        <w:t>Raportul este însoțit pentru prima dată de o analiză aprofundată a subvențiilor pentru energie</w:t>
      </w:r>
      <w:r w:rsidRPr="00FF06C5" w:rsidR="00CA11FD">
        <w:rPr>
          <w:sz w:val="24"/>
          <w:szCs w:val="24"/>
          <w:u w:val="single"/>
          <w:vertAlign w:val="superscript"/>
        </w:rPr>
        <w:footnoteReference w:id="2"/>
      </w:r>
      <w:r>
        <w:t>, din care reiese în mod clar că a) sunt necesare date de o calitate mai bună privind subvențiile pentru energie</w:t>
      </w:r>
      <w:r w:rsidRPr="00DC308B">
        <w:rPr>
          <w:sz w:val="24"/>
          <w:szCs w:val="24"/>
          <w:vertAlign w:val="superscript"/>
        </w:rPr>
        <w:footnoteReference w:id="3"/>
      </w:r>
      <w:r>
        <w:t xml:space="preserve"> și că b) „există o nevoie clară de a intensifica eforturile” pentru a reduce subvențiile pentru combustibilii fosili. Instrumentele juridice existente în prezent la nivelul UE sunt descrise ca fiind insuficiente.</w:t>
      </w:r>
    </w:p>
    <w:p w:rsidRPr="00DC308B" w:rsidR="00DF21DA" w:rsidP="00DF21DA" w:rsidRDefault="00DF21DA" w14:paraId="628088E0" w14:textId="77777777">
      <w:pPr>
        <w:pStyle w:val="Heading2"/>
        <w:numPr>
          <w:ilvl w:val="0"/>
          <w:numId w:val="0"/>
        </w:numPr>
        <w:rPr>
          <w:noProof/>
        </w:rPr>
      </w:pPr>
    </w:p>
    <w:p w:rsidRPr="00DC308B" w:rsidR="00DF21DA" w:rsidP="00DF21DA" w:rsidRDefault="00DF21DA" w14:paraId="780FDA7B" w14:textId="604293E1">
      <w:pPr>
        <w:pStyle w:val="Heading2"/>
        <w:rPr>
          <w:noProof/>
        </w:rPr>
      </w:pPr>
      <w:r>
        <w:t>Se apreciază, de asemenea, că tendințele înregistrate în ultimii ani, de scădere a investițiilor în cercetare și dezvoltare (C&amp;D) la nivelul UE-27 în acest sector, respectiv faptul că Europa a rămas considerabil în urmă comparativ cu alte spații economice, „nu sunt încurajatoare”. Comisia își propune să depună eforturi, de exemplu în ceea ce privește bateriile și hidrogenul, pentru a stimula și a promova cercetarea și inovarea și pentru a compensa scăderea investițiilor observată la nivel național.</w:t>
      </w:r>
    </w:p>
    <w:p w:rsidRPr="00DC308B" w:rsidR="00DF21DA" w:rsidP="00DF21DA" w:rsidRDefault="00DF21DA" w14:paraId="133D8A1C" w14:textId="77777777"/>
    <w:p w:rsidRPr="00DC308B" w:rsidR="00DF21DA" w:rsidP="00DF21DA" w:rsidRDefault="00DF21DA" w14:paraId="3AE81D87" w14:textId="1D0BC220">
      <w:pPr>
        <w:pStyle w:val="Heading2"/>
      </w:pPr>
      <w:r>
        <w:t>Se constată că factura importurilor de energie a crescut din nou în ultimii ani (la peste 330 de miliarde EUR pe an), iar tendința descendentă din trecut s-a inversat din nou.</w:t>
      </w:r>
    </w:p>
    <w:p w:rsidRPr="00DC308B" w:rsidR="00DF21DA" w:rsidP="00DF21DA" w:rsidRDefault="00DF21DA" w14:paraId="75C19736" w14:textId="77777777"/>
    <w:p w:rsidRPr="00DC308B" w:rsidR="00DF21DA" w:rsidP="00DF21DA" w:rsidRDefault="00DF21DA" w14:paraId="1ED2E449" w14:textId="6723145F">
      <w:pPr>
        <w:pStyle w:val="Heading2"/>
      </w:pPr>
      <w:r>
        <w:t xml:space="preserve">Comisia își încheie raportul subliniind că, în contextul redresării în urma crizei provocate de </w:t>
      </w:r>
      <w:proofErr w:type="spellStart"/>
      <w:r>
        <w:t>coronavirus</w:t>
      </w:r>
      <w:proofErr w:type="spellEnd"/>
      <w:r>
        <w:t>, există la nivel european o oportunitate unică de a investi în sprijinirea redresării economiei UE, cu accelerarea concomitentă a tranziției verzi și a celei digitale.</w:t>
      </w:r>
    </w:p>
    <w:p w:rsidRPr="00DC308B" w:rsidR="00DF21DA" w:rsidP="00DF21DA" w:rsidRDefault="00DF21DA" w14:paraId="1B8C8D21" w14:textId="77777777"/>
    <w:p w:rsidRPr="00DC308B" w:rsidR="00DF21DA" w:rsidP="00DF21DA" w:rsidRDefault="00DF21DA" w14:paraId="23AA7E46" w14:textId="1906A37E">
      <w:pPr>
        <w:pStyle w:val="Heading2"/>
      </w:pPr>
      <w:r>
        <w:t>În comunicarea sa privind evaluarea PNEC la nivelul Uniunii, Comisia ajunge la o concluzie pozitivă, întrucât progresele înregistrate în domeniile reducerii emisiilor de gaze cu efect de seră și dezvoltării energiei din surse regenerabile au permis creșterea obiectivelor corespunzătoare pentru 2030 încă în cursul anului 2021. Pe de altă parte, Comisia recunoaște nevoia puternică de recuperare a decalajelor în ceea ce privește eficiența energetică și investițiile în cercetare și inovare. Pentru a elimina aceste decalaje, este necesar ca statele membre să aibă în vedere noile oportunități de finanțare din cadrul financiar multianual, precum și din cadrul Mecanismului de redresare și reziliență.</w:t>
      </w:r>
    </w:p>
    <w:p w:rsidRPr="00DC308B" w:rsidR="00392EF1" w:rsidP="00392EF1" w:rsidRDefault="00392EF1" w14:paraId="38D85B31" w14:textId="2E961120"/>
    <w:p w:rsidRPr="00DC308B" w:rsidR="00392EF1" w:rsidP="00646DA7" w:rsidRDefault="00392EF1" w14:paraId="4E1BB205" w14:textId="7D00AA7A">
      <w:pPr>
        <w:pStyle w:val="Heading1"/>
        <w:keepNext/>
        <w:keepLines/>
        <w:rPr>
          <w:b/>
          <w:color w:val="000000" w:themeColor="text1"/>
        </w:rPr>
      </w:pPr>
      <w:r>
        <w:rPr>
          <w:b/>
        </w:rPr>
        <w:t>Observații generale ale CESE</w:t>
      </w:r>
    </w:p>
    <w:p w:rsidRPr="00DC308B" w:rsidR="00392EF1" w:rsidP="00646DA7" w:rsidRDefault="00392EF1" w14:paraId="1D990847" w14:textId="5BF34F3C">
      <w:pPr>
        <w:keepNext/>
        <w:keepLines/>
      </w:pPr>
    </w:p>
    <w:p w:rsidRPr="00DC308B" w:rsidR="00392EF1" w:rsidP="00392EF1" w:rsidRDefault="00392EF1" w14:paraId="5E53DA7F" w14:textId="4CA5B428">
      <w:pPr>
        <w:pStyle w:val="Heading2"/>
      </w:pPr>
      <w:r>
        <w:t xml:space="preserve">În primul rând, Comisia merită în mod explicit laude pentru acribia cu care asigură guvernanța uniunii energetice și care reiese din documentația detaliată (inclusiv din anexe), dând astfel dovadă de o foarte mare seriozitate. Acest lucru este mai mult decât necesar, având în vedere că obiectivele stabilite până în prezent și care ar trebui să fie mai stricte au fost atinse cu greu, atunci când acest lucru s-a întâmplat. Obiectivul de realizare a neutralității climatice în Uniunea Europeană până cel târziu în anul 2050 este de o importanță capitală și necesită o planificare strategică și coordonarea unor politici foarte variate, care pot fi unice din punct de vedere istoric și care merg dincolo de orice demers decizional anterior. </w:t>
      </w:r>
    </w:p>
    <w:p w:rsidRPr="00DC308B" w:rsidR="00392EF1" w:rsidP="00392EF1" w:rsidRDefault="00392EF1" w14:paraId="51F225E2" w14:textId="77777777">
      <w:pPr>
        <w:pStyle w:val="Heading2"/>
        <w:numPr>
          <w:ilvl w:val="0"/>
          <w:numId w:val="0"/>
        </w:numPr>
        <w:ind w:left="567"/>
        <w:rPr>
          <w:color w:val="000000" w:themeColor="text1"/>
        </w:rPr>
      </w:pPr>
    </w:p>
    <w:p w:rsidRPr="00DC308B" w:rsidR="00392EF1" w:rsidP="00DC308B" w:rsidRDefault="00392EF1" w14:paraId="51A43095" w14:textId="2EC75625">
      <w:pPr>
        <w:pStyle w:val="Heading2"/>
        <w:rPr>
          <w:noProof/>
        </w:rPr>
      </w:pPr>
      <w:r>
        <w:t>În acest context, CESE este întru totul de acord cu Comisia atunci când subliniază necesitatea ca statele membre să elaboreze strategii mai clare și să le pună în aplicare fără întârziere. În acest sens, trebuie să se acorde atenția cuvenită implicațiilor pentru societate, ocuparea forței de muncă și competențe, precum și altor efecte distributive ale tranziției energetice, și trebuie prezentate modalitățile de abordare a acestor provocări.</w:t>
      </w:r>
    </w:p>
    <w:p w:rsidRPr="00DC308B" w:rsidR="00392EF1" w:rsidP="00392EF1" w:rsidRDefault="00392EF1" w14:paraId="22E8AA09" w14:textId="77777777"/>
    <w:p w:rsidRPr="00DC308B" w:rsidR="00392EF1" w:rsidP="00392EF1" w:rsidRDefault="00392EF1" w14:paraId="52CFCFF1" w14:textId="390FF1FD">
      <w:pPr>
        <w:pStyle w:val="Heading2"/>
      </w:pPr>
      <w:r>
        <w:t>Concluziile principale ale Comisiei sunt ușor de înțeles și merită a fi sprijinite. Acest lucru se aplică în special constatării potrivit căreia progresele înregistrate în ceea ce privește atingerea obiectivului de reducere a emisiilor de gaze cu efect de seră, creșterea eficienței energetice și dezvoltarea energiei din surse regenerabile reprezintă o rampă de lansare pentru obiective mai ambițioase.</w:t>
      </w:r>
    </w:p>
    <w:p w:rsidRPr="00DC308B" w:rsidR="00392EF1" w:rsidP="00392EF1" w:rsidRDefault="00392EF1" w14:paraId="096944FE" w14:textId="77777777">
      <w:pPr>
        <w:pStyle w:val="Heading2"/>
        <w:numPr>
          <w:ilvl w:val="0"/>
          <w:numId w:val="0"/>
        </w:numPr>
        <w:ind w:left="567"/>
        <w:rPr>
          <w:color w:val="000000" w:themeColor="text1"/>
        </w:rPr>
      </w:pPr>
    </w:p>
    <w:p w:rsidRPr="00DC308B" w:rsidR="00392EF1" w:rsidP="00392EF1" w:rsidRDefault="00392EF1" w14:paraId="26888217" w14:textId="77E89CF7">
      <w:pPr>
        <w:pStyle w:val="Heading2"/>
      </w:pPr>
      <w:r>
        <w:t>De asemenea, CESE este de acord cu Comisia că este nevoie de un nou impuls. Ar fi fost însă de preferat ca Comisia să precizeze în termeni concreți în ce ar trebui să constea noile impulsuri.</w:t>
      </w:r>
    </w:p>
    <w:p w:rsidRPr="00DC308B" w:rsidR="00392EF1" w:rsidP="00392EF1" w:rsidRDefault="00392EF1" w14:paraId="5DF38093" w14:textId="77777777"/>
    <w:p w:rsidRPr="00DC308B" w:rsidR="00392EF1" w:rsidP="00392EF1" w:rsidRDefault="00392EF1" w14:paraId="61986789" w14:textId="0BFCD9DD">
      <w:pPr>
        <w:pStyle w:val="Heading2"/>
      </w:pPr>
      <w:r>
        <w:t>Comisia corelează dezvoltarea uniunii energetice cu Pactul verde european și politica de redresare după criza provocată de pandemia de COVID-19, ceea ce pare o concluzie logică, având în vedere că cele două abordări nu erau cunoscute încă atunci când au fost elaborate cadrul strategic al uniunii energetice și regulamentul privind guvernanța. CESE subliniază faptul că uniunea energetică europeană oferă o bază ideală de acțiune în ceea ce privește Pactul verde. Ar fi fost cu atât mai important ca, în cursul evaluării actuale, să se descrie mai explicit deficiențele existente și să se elaboreze strategii de remediere a acestora. Acest lucru nu s-a întâmplat în cel puțin trei cazuri, care vor fi discutate în cele ce urmează.</w:t>
      </w:r>
    </w:p>
    <w:p w:rsidRPr="00DC308B" w:rsidR="00392EF1" w:rsidP="00392EF1" w:rsidRDefault="00392EF1" w14:paraId="68A06B5E" w14:textId="77777777"/>
    <w:p w:rsidRPr="00DC308B" w:rsidR="00392EF1" w:rsidP="00646DA7" w:rsidRDefault="00392EF1" w14:paraId="6D43E2D7" w14:textId="7E3E9C91">
      <w:pPr>
        <w:keepNext/>
        <w:keepLines/>
        <w:ind w:left="567"/>
        <w:rPr>
          <w:i/>
        </w:rPr>
      </w:pPr>
      <w:r>
        <w:rPr>
          <w:i/>
        </w:rPr>
        <w:t>Aplicarea deficitară a obiectivului „Cetățenii în centrul uniunii energetice”</w:t>
      </w:r>
    </w:p>
    <w:p w:rsidRPr="00DC308B" w:rsidR="00392EF1" w:rsidP="00646DA7" w:rsidRDefault="00392EF1" w14:paraId="60624F4F" w14:textId="77777777">
      <w:pPr>
        <w:keepNext/>
        <w:keepLines/>
      </w:pPr>
    </w:p>
    <w:p w:rsidRPr="00DC308B" w:rsidR="00392EF1" w:rsidP="008A5FF3" w:rsidRDefault="00392EF1" w14:paraId="3689779F" w14:textId="213C9B49">
      <w:pPr>
        <w:pStyle w:val="Heading2"/>
      </w:pPr>
      <w:r>
        <w:t xml:space="preserve">După cum se face referire la punctul 2.2, în cadrul strategic privind uniunea energetică, Comisia a identificat importanța unei politici care să fie susținută de către cetățeni și orientată către aceștia ca fiind </w:t>
      </w:r>
      <w:r>
        <w:rPr>
          <w:i/>
          <w:iCs/>
        </w:rPr>
        <w:t>cel mai important</w:t>
      </w:r>
      <w:r>
        <w:t xml:space="preserve">(!) obiectiv. Prin urmare, acest obiectiv ar fi trebuit să beneficieze de o atenție deosebită în raportul privind starea uniunii energetice, în special prin formularea de propuneri specifice cu privire la participarea și implicarea transparentă și activă a cetățenilor, a partenerilor sociali și a părților interesate în procesele decizionale, de exemplu în elaborarea PNEC, precum și participarea și implicarea activă în cadrul pieței. De fapt, aspectul participării nu a fost nici măcar amintit în raport și nu a existat o evaluare a măsurii în care acțiunile propuse pentru viitor servesc în mod explicit acestui obiectiv. </w:t>
      </w:r>
    </w:p>
    <w:p w:rsidRPr="00DC308B" w:rsidR="00392EF1" w:rsidP="00392EF1" w:rsidRDefault="00392EF1" w14:paraId="52BED425" w14:textId="77777777">
      <w:pPr>
        <w:pStyle w:val="Heading2"/>
        <w:numPr>
          <w:ilvl w:val="0"/>
          <w:numId w:val="0"/>
        </w:numPr>
        <w:ind w:left="567"/>
        <w:rPr>
          <w:color w:val="000000" w:themeColor="text1"/>
        </w:rPr>
      </w:pPr>
    </w:p>
    <w:p w:rsidRPr="00DC308B" w:rsidR="00392EF1" w:rsidP="008A5FF3" w:rsidRDefault="00392EF1" w14:paraId="7DDD70EB" w14:textId="6989F3D1">
      <w:pPr>
        <w:pStyle w:val="Heading2"/>
      </w:pPr>
      <w:r>
        <w:t>Aceasta este o problemă de actualitate inclusiv cu privire la strategia de integrare a sistemului energetic propusă de Comisie, în care cetățenii sunt menționați doar în calitate de consumatori, nu și ca participanți activi la piață. Și în ceea ce privește prioritățile descrise de Comisia Europeană</w:t>
      </w:r>
      <w:r w:rsidRPr="00DC308B">
        <w:rPr>
          <w:color w:val="000000" w:themeColor="text1"/>
          <w:sz w:val="24"/>
          <w:szCs w:val="24"/>
          <w:vertAlign w:val="superscript"/>
        </w:rPr>
        <w:footnoteReference w:id="4"/>
      </w:r>
      <w:r>
        <w:t xml:space="preserve">, și anume strategia privind hidrogenul și viziunea anunțată privind energia </w:t>
      </w:r>
      <w:proofErr w:type="spellStart"/>
      <w:r>
        <w:t>offshore</w:t>
      </w:r>
      <w:proofErr w:type="spellEnd"/>
      <w:r>
        <w:t>, este greu de imaginat că participarea cetățenilor va fi posibilă sau cel puțin avută în vedere. Prin</w:t>
      </w:r>
      <w:r w:rsidR="00FF06C5">
        <w:t> </w:t>
      </w:r>
      <w:r>
        <w:t xml:space="preserve">urmare, CESE critică faptul că, în comunicarea sa privind evaluarea PNEC, Comisia își anunță intenția de a utiliza mecanismul de finanțare al UE pentru energiile regenerabile în special pentru promovarea tehnologiilor </w:t>
      </w:r>
      <w:proofErr w:type="spellStart"/>
      <w:r>
        <w:t>offshore</w:t>
      </w:r>
      <w:proofErr w:type="spellEnd"/>
      <w:r>
        <w:t>.</w:t>
      </w:r>
    </w:p>
    <w:p w:rsidRPr="00DC308B" w:rsidR="00392EF1" w:rsidP="00392EF1" w:rsidRDefault="00392EF1" w14:paraId="3341F3A3" w14:textId="77777777"/>
    <w:p w:rsidRPr="00DC308B" w:rsidR="00392EF1" w:rsidP="008A5FF3" w:rsidRDefault="00392EF1" w14:paraId="042C8F42" w14:textId="2A5732E2">
      <w:pPr>
        <w:pStyle w:val="Heading2"/>
      </w:pPr>
      <w:r>
        <w:t>Comisia ignoră astfel legislația europeană în vigoare, întrucât considerentul 43 din Directiva (UE)</w:t>
      </w:r>
      <w:r w:rsidR="00FF06C5">
        <w:t> </w:t>
      </w:r>
      <w:r>
        <w:t xml:space="preserve">2019/944 privind piața internă de energie electrică precizează că: „energia comunitară [a devenit] o modalitate eficientă și rentabilă de a răspunde nevoilor și așteptărilor cetățenilor [...] Prin dialogul direct cu consumatorii, inițiativele în domeniul energiei comunitare își demonstrează potențialul de a înlesni adoptarea noilor tehnologii și modele de consum, inclusiv a rețelelor de distribuție inteligente și a consumului </w:t>
      </w:r>
      <w:proofErr w:type="spellStart"/>
      <w:r>
        <w:t>dispecerizabil</w:t>
      </w:r>
      <w:proofErr w:type="spellEnd"/>
      <w:r>
        <w:t xml:space="preserve">, într-un mod integrat. Totodată, energia comunitară poate face să progreseze eficiența energetică la nivelul gospodăriilor și poate contribui la combaterea sărăciei energetice prin reducerea consumului și scăderea tarifelor de furnizare a energiei electrice. [...] Acolo unde au fost gestionate cu succes, inițiativele de acest tip </w:t>
      </w:r>
      <w:r>
        <w:lastRenderedPageBreak/>
        <w:t>au adus comunității beneficii economice, sociale și de mediu”. În opinia legiuitorilor europeni, energia comunitară poate remedia o serie de deficiențe semnalate în documentele Comisiei. Este</w:t>
      </w:r>
      <w:r w:rsidR="00FF06C5">
        <w:t> </w:t>
      </w:r>
      <w:r>
        <w:t>cu atât mai greu de înțeles de ce Comisia nu recunoaște acest lucru în propriile sale documente. Se remarcă o discrepanță majoră între intenții și realitate, iar CESE nu a putut identifica o strategie reală a Comisiei de a transforma cetățenii în parteneri activi.</w:t>
      </w:r>
    </w:p>
    <w:p w:rsidRPr="00DC308B" w:rsidR="00392EF1" w:rsidP="00392EF1" w:rsidRDefault="00392EF1" w14:paraId="3C807EB0" w14:textId="77777777"/>
    <w:p w:rsidRPr="00DC308B" w:rsidR="00392EF1" w:rsidP="008A5FF3" w:rsidRDefault="00392EF1" w14:paraId="28890A1E" w14:textId="4243F644">
      <w:pPr>
        <w:pStyle w:val="Heading2"/>
      </w:pPr>
      <w:r>
        <w:t>Însă aceste critici ar trebui să vizeze, de asemenea, majoritatea statelor membre, care au obligația de a aborda energia comunitară în PNEC, în conformitate cu articolul 20 din Regulamentul (UE)</w:t>
      </w:r>
      <w:r w:rsidR="00FF06C5">
        <w:t> </w:t>
      </w:r>
      <w:r>
        <w:t xml:space="preserve">2018/1999 privind guvernanța. În evaluarea sa, Comisia subliniază că statele membre nu au făcut acest lucru sau cel puțin nu suficient. Cu ocazia revizuirii Directivei privind energia din surse regenerabile, CESE invită Comisia Europeană să propună orientări mai specifice pentru promovarea energiei comunitare. </w:t>
      </w:r>
    </w:p>
    <w:p w:rsidRPr="00DC308B" w:rsidR="00392EF1" w:rsidP="00392EF1" w:rsidRDefault="00392EF1" w14:paraId="78A96007" w14:textId="77777777"/>
    <w:p w:rsidRPr="00DC308B" w:rsidR="00392EF1" w:rsidP="00646DA7" w:rsidRDefault="00392EF1" w14:paraId="14D5EE79" w14:textId="0F4FBC5D">
      <w:pPr>
        <w:keepNext/>
        <w:keepLines/>
        <w:ind w:left="567"/>
        <w:rPr>
          <w:i/>
        </w:rPr>
      </w:pPr>
      <w:r>
        <w:rPr>
          <w:i/>
        </w:rPr>
        <w:t>Aplicarea deficitară a obiectivelor „Securitate energetică/reducerea importurilor de energie”</w:t>
      </w:r>
    </w:p>
    <w:p w:rsidRPr="00DC308B" w:rsidR="00392EF1" w:rsidP="00646DA7" w:rsidRDefault="00392EF1" w14:paraId="6E2A4A3B" w14:textId="77777777">
      <w:pPr>
        <w:keepNext/>
        <w:keepLines/>
      </w:pPr>
    </w:p>
    <w:p w:rsidRPr="00DC308B" w:rsidR="00392EF1" w:rsidP="00EC4936" w:rsidRDefault="00392EF1" w14:paraId="676EB510" w14:textId="4D408E6F">
      <w:pPr>
        <w:pStyle w:val="Heading2"/>
        <w:rPr>
          <w:noProof/>
        </w:rPr>
      </w:pPr>
      <w:r>
        <w:t xml:space="preserve">Un obiectiv strategic al Uniunii Energetice constă în creșterea securității energetice, inclusiv prin reducerea importurilor de energie. Comisia constată, mai mult sau mai puțin în treacăt, că nu se observă niciun progres în acest sens și că, dimpotrivă, cheltuielile cu importurile de energie au crescut din nou. Importanța tot mai mare a hidrogenului ar putea contribui chiar și la creșterea și mai susținută a importurilor în viitor, întrucât Comisia se bazează în mod clar pe importuri în strategia sa privind hidrogenul! CESE așteaptă din partea Comisiei clarificări cu privire la acest subiect. </w:t>
      </w:r>
    </w:p>
    <w:p w:rsidRPr="00DC308B" w:rsidR="00392EF1" w:rsidP="00392EF1" w:rsidRDefault="00392EF1" w14:paraId="33AD2944" w14:textId="07779C0A"/>
    <w:p w:rsidRPr="00DC308B" w:rsidR="00E6375E" w:rsidP="00C146D8" w:rsidRDefault="00E6375E" w14:paraId="12A9D05A" w14:textId="19EA0D96">
      <w:pPr>
        <w:pStyle w:val="Heading2"/>
      </w:pPr>
      <w:r>
        <w:t xml:space="preserve">CESE solicită, de asemenea, să se urmeze ideea solidarității europene în ceea ce privește asigurarea importurilor inevitabile de energie. Acțiunile naționale individuale, cum ar fi proiectul gazoductului Nord </w:t>
      </w:r>
      <w:proofErr w:type="spellStart"/>
      <w:r>
        <w:t>Stream</w:t>
      </w:r>
      <w:proofErr w:type="spellEnd"/>
      <w:r>
        <w:t xml:space="preserve"> 2, pot pune în pericol nu numai protecția climei, ci și securitatea aprovizionării. Astfel de acțiuni, care subminează solidaritatea europeană, pun în pericol încrederea cetățenilor în UE și imaginea UE în țările terțe.</w:t>
      </w:r>
    </w:p>
    <w:p w:rsidRPr="00DC308B" w:rsidR="00E6375E" w:rsidP="00392EF1" w:rsidRDefault="00E6375E" w14:paraId="1D935F3C" w14:textId="77777777"/>
    <w:p w:rsidRPr="00DC308B" w:rsidR="00392EF1" w:rsidP="00646DA7" w:rsidRDefault="00392EF1" w14:paraId="1514EB33" w14:textId="11B573FC">
      <w:pPr>
        <w:keepNext/>
        <w:keepLines/>
        <w:ind w:left="567"/>
        <w:rPr>
          <w:i/>
        </w:rPr>
      </w:pPr>
      <w:r>
        <w:rPr>
          <w:i/>
        </w:rPr>
        <w:t>Aplicarea deficitară a obiectivului „Inovare, rol de lider mondial”</w:t>
      </w:r>
    </w:p>
    <w:p w:rsidRPr="00DC308B" w:rsidR="00392EF1" w:rsidP="00646DA7" w:rsidRDefault="00392EF1" w14:paraId="5E8FC0AB" w14:textId="77777777">
      <w:pPr>
        <w:keepNext/>
        <w:keepLines/>
      </w:pPr>
    </w:p>
    <w:p w:rsidRPr="00DC308B" w:rsidR="00392EF1" w:rsidP="008A5FF3" w:rsidRDefault="00392EF1" w14:paraId="4BDF425A" w14:textId="06A2CE2B">
      <w:pPr>
        <w:pStyle w:val="Heading2"/>
        <w:rPr>
          <w:noProof/>
        </w:rPr>
      </w:pPr>
      <w:r>
        <w:t xml:space="preserve">Imaginea conturată cu privire la inovare este de asemenea negativă. Aspirația puternică a uniunii energetice referitoare la asumarea rolului de lider mondial se află în contradicție cu situația investițiilor în cercetare și dezvoltare, respectiv a cererilor de brevete, prezentată în raportul privind starea uniunii energetice. Având în vedere această constatare îngrijorătoare, este necesar să se efectueze o analiză exactă și aprofundată a erorilor, astfel încât cauzele lor să poată fi identificate și determinate în mod critic. Pe această bază ar trebui elaborate contramăsuri concrete. </w:t>
      </w:r>
    </w:p>
    <w:p w:rsidRPr="00DC308B" w:rsidR="00392EF1" w:rsidP="00392EF1" w:rsidRDefault="00392EF1" w14:paraId="4F01558E" w14:textId="77777777"/>
    <w:p w:rsidRPr="00DC308B" w:rsidR="00392EF1" w:rsidP="008A5FF3" w:rsidRDefault="00392EF1" w14:paraId="013C00C8" w14:textId="71F64346">
      <w:pPr>
        <w:pStyle w:val="Heading2"/>
      </w:pPr>
      <w:r>
        <w:t>Referitor la punctele 3.6-3.11, este important de precizat că nu este suficient să se reitereze aceleași sloganuri, dacă acestea nu sunt însoțite de acțiuni concrete. În caz contrar, credibilitatea politicii europene va fi pusă sub semnul întrebării. Într-adevăr, în niciunul din documentele Comisiei, inclusiv în strategia privind integrarea sistemului energetic și privind hidrogenul, nu sunt identificate acțiuni concrete care ar putea servi la atingerea obiectivelor mai sus menționate.</w:t>
      </w:r>
    </w:p>
    <w:p w:rsidRPr="00DC308B" w:rsidR="00392EF1" w:rsidP="00392EF1" w:rsidRDefault="00392EF1" w14:paraId="1202D3DE" w14:textId="77777777"/>
    <w:p w:rsidRPr="00DC308B" w:rsidR="00392EF1" w:rsidP="00646DA7" w:rsidRDefault="00392EF1" w14:paraId="118696E3" w14:textId="0F7FC281">
      <w:pPr>
        <w:keepNext/>
        <w:keepLines/>
        <w:ind w:left="567"/>
        <w:rPr>
          <w:i/>
        </w:rPr>
      </w:pPr>
      <w:r>
        <w:rPr>
          <w:i/>
        </w:rPr>
        <w:lastRenderedPageBreak/>
        <w:t>Relevanța uniunii energetice în materie de politici sociale și regionale</w:t>
      </w:r>
    </w:p>
    <w:p w:rsidRPr="00DC308B" w:rsidR="00392EF1" w:rsidP="00646DA7" w:rsidRDefault="00392EF1" w14:paraId="73572E85" w14:textId="77777777">
      <w:pPr>
        <w:keepNext/>
        <w:keepLines/>
      </w:pPr>
    </w:p>
    <w:p w:rsidRPr="00DC308B" w:rsidR="00392EF1" w:rsidP="008A5FF3" w:rsidRDefault="00392EF1" w14:paraId="72A09D06" w14:textId="58AB09FD">
      <w:pPr>
        <w:pStyle w:val="Heading2"/>
        <w:rPr>
          <w:noProof/>
        </w:rPr>
      </w:pPr>
      <w:r>
        <w:t xml:space="preserve">În capitolele 2.6 și 3.3 din raportul său privind starea uniunii energetice, Comisia prezintă și câteva considerații în materie de politică socială. Acestea sunt corecte, iar CESE sprijină îndeosebi faptul că fondurile de redresare în urma crizei provocate de pandemia de </w:t>
      </w:r>
      <w:proofErr w:type="spellStart"/>
      <w:r>
        <w:t>coronavirus</w:t>
      </w:r>
      <w:proofErr w:type="spellEnd"/>
      <w:r>
        <w:t xml:space="preserve"> sunt corelate cu obiectivele politicilor privind clima și energia. Măsurile prevăzute pentru o tranziție justă sunt, de asemenea, adecvate, și pot servi ca bază pentru câștigarea încrederii populației în vederea atingerii obiectivelor politicilor privind clima și energia. Măsura în care acest lucru ar ajuta la realizarea principiului de „a nu lăsa pe nimeni în urmă” va depinde în mod concret de operaționalizarea și finanțarea instrumentelor individuale, precum și de implementarea propriu-zisă a acestora la nivel național. </w:t>
      </w:r>
    </w:p>
    <w:p w:rsidRPr="00DC308B" w:rsidR="00392EF1" w:rsidP="00392EF1" w:rsidRDefault="00392EF1" w14:paraId="16B4E100" w14:textId="77777777"/>
    <w:p w:rsidRPr="00DC308B" w:rsidR="00392EF1" w:rsidP="008A5FF3" w:rsidRDefault="00392EF1" w14:paraId="34286D2E" w14:textId="750681C1">
      <w:pPr>
        <w:pStyle w:val="Heading2"/>
        <w:rPr>
          <w:noProof/>
        </w:rPr>
      </w:pPr>
      <w:r>
        <w:t>După cum s-a exprimat în avizele anterioare</w:t>
      </w:r>
      <w:r w:rsidRPr="00DC308B">
        <w:rPr>
          <w:noProof/>
          <w:sz w:val="24"/>
          <w:szCs w:val="24"/>
          <w:vertAlign w:val="superscript"/>
        </w:rPr>
        <w:footnoteReference w:id="5"/>
      </w:r>
      <w:r>
        <w:t>, CESE este convins că nu numai resursele pentru coeziunea și redresarea socială și regională trebuie utilizate pentru a sprijini atenuarea schimbărilor climatice și tranziția energetică, ci și politicile privind clima și energia trebuie (și</w:t>
      </w:r>
      <w:r w:rsidR="00FF06C5">
        <w:t> </w:t>
      </w:r>
      <w:r>
        <w:t xml:space="preserve">pot) fi configurate astfel încât să se promoveze coeziunea socială și regională. Astfel de abordări există deja, unele dintre ele fiind chiar enumerate în comunicarea privind evaluarea PNEC, de exemplu proiectele de instalare de panouri solare în fostele zone de extracție a lignitului din Portugalia și Grecia sau campania de promovare a </w:t>
      </w:r>
      <w:proofErr w:type="spellStart"/>
      <w:r>
        <w:t>prosumatorilor</w:t>
      </w:r>
      <w:proofErr w:type="spellEnd"/>
      <w:r>
        <w:t xml:space="preserve"> din Lituania, cu un caracter strategic puternic. Însă acestea nu reflectă sub nicio formă practica generală sau curentul dominant.</w:t>
      </w:r>
    </w:p>
    <w:p w:rsidRPr="00DC308B" w:rsidR="00392EF1" w:rsidP="00392EF1" w:rsidRDefault="00392EF1" w14:paraId="0DF14FB0" w14:textId="77777777"/>
    <w:p w:rsidRPr="00DC308B" w:rsidR="00392EF1" w:rsidP="008A5FF3" w:rsidRDefault="00392EF1" w14:paraId="7D8ABB78" w14:textId="2ECBED50">
      <w:pPr>
        <w:pStyle w:val="Heading2"/>
        <w:rPr>
          <w:noProof/>
        </w:rPr>
      </w:pPr>
      <w:r>
        <w:t xml:space="preserve">Așadar, există riscul ca tranziția energetică să adâncească diferențele sociale și regionale, de exemplu, în cazul în care Comisia va pune în aplicare integrarea sistemului energetic, extinderea infrastructurii de hidrogen și promovarea energiilor </w:t>
      </w:r>
      <w:proofErr w:type="spellStart"/>
      <w:r>
        <w:t>offshore</w:t>
      </w:r>
      <w:proofErr w:type="spellEnd"/>
      <w:r>
        <w:t>, după cum este prevăzut, întrucât favorizează concepte centralizate în detrimentul celor descentralizate.</w:t>
      </w:r>
    </w:p>
    <w:p w:rsidRPr="00DC308B" w:rsidR="00392EF1" w:rsidP="00392EF1" w:rsidRDefault="00392EF1" w14:paraId="4E46F510" w14:textId="77777777"/>
    <w:p w:rsidRPr="00DC308B" w:rsidR="00392EF1" w:rsidP="008A5FF3" w:rsidRDefault="00392EF1" w14:paraId="13343411" w14:textId="1BC9C371">
      <w:pPr>
        <w:pStyle w:val="Heading2"/>
      </w:pPr>
      <w:r>
        <w:t>În orice caz, dezvoltarea în paralel de infrastructuri centralizate și descentralizate este problematică și prezintă riscul de a determina investiții greșite. De exemplu, există utilizări concurente între o rețea națională de conducte pentru hidrogen și extinderea rețelelor de termoficare rece, după cum se menționează în comunicarea Comisiei privind evaluarea PNEC. De aceea, CESE a solicitat adoptarea de decizii de principiu adecvate, pentru a garanta siguranța investițiilor</w:t>
      </w:r>
      <w:r w:rsidRPr="00DC308B">
        <w:rPr>
          <w:sz w:val="24"/>
          <w:szCs w:val="24"/>
          <w:vertAlign w:val="superscript"/>
        </w:rPr>
        <w:footnoteReference w:id="6"/>
      </w:r>
      <w:r>
        <w:t>. Deși au o importanță strategică pentru succesul uniunii energetice, nu sunt luate în considerare în documentele la care se face referire aici.</w:t>
      </w:r>
    </w:p>
    <w:p w:rsidRPr="00DC308B" w:rsidR="00392EF1" w:rsidP="00392EF1" w:rsidRDefault="00392EF1" w14:paraId="54BE2E11" w14:textId="77777777"/>
    <w:p w:rsidRPr="00DC308B" w:rsidR="00392EF1" w:rsidP="008A5FF3" w:rsidRDefault="00392EF1" w14:paraId="2033907C" w14:textId="037B665D">
      <w:pPr>
        <w:pStyle w:val="Heading2"/>
      </w:pPr>
      <w:r>
        <w:t xml:space="preserve">La fel ca în aproape toate documentele recente ale Comisiei privind politica energetică, digitalizarea nu joacă niciun rol în raportul privind starea uniunii energetice. Cu toate acestea, digitalizarea deschide concepte interesante, cum ar fi </w:t>
      </w:r>
      <w:proofErr w:type="spellStart"/>
      <w:r>
        <w:t>microrețelele</w:t>
      </w:r>
      <w:proofErr w:type="spellEnd"/>
      <w:r>
        <w:t xml:space="preserve"> inteligente și piețele inteligente, </w:t>
      </w:r>
      <w:proofErr w:type="spellStart"/>
      <w:r>
        <w:t>microtranzacționarea</w:t>
      </w:r>
      <w:proofErr w:type="spellEnd"/>
      <w:r>
        <w:t xml:space="preserve">, centralele electrice virtuale etc. Toate acestea pot contribui la creșterea eficienței și a performanței pieței interne a energiei, inclusiv prin consolidarea rolului consumatorilor activi. Comisia a abordat acest aspect în strategia-cadru a uniunii energetice, însă </w:t>
      </w:r>
      <w:r>
        <w:lastRenderedPageBreak/>
        <w:t>într-o formă destul de succintă</w:t>
      </w:r>
      <w:r w:rsidRPr="00DC308B" w:rsidR="00311BE2">
        <w:rPr>
          <w:sz w:val="24"/>
          <w:szCs w:val="24"/>
          <w:vertAlign w:val="superscript"/>
        </w:rPr>
        <w:footnoteReference w:id="7"/>
      </w:r>
      <w:r>
        <w:t>. Este de neînțeles de ce Comisia ignoră acest aspect în raportul său privind starea uniunii energetice, mai ales că utilizarea tehnologiilor digitale trebuie examinată cu atenție din perspectiva utilității lor și a posibilelor probleme etice, în special în ceea ce privește suveranitatea datelor.</w:t>
      </w:r>
    </w:p>
    <w:p w:rsidRPr="00DC308B" w:rsidR="0087511F" w:rsidP="0087511F" w:rsidRDefault="0087511F" w14:paraId="7133C439" w14:textId="316624B9"/>
    <w:p w:rsidRPr="00DC308B" w:rsidR="000B2261" w:rsidP="0092523D" w:rsidRDefault="000B2261" w14:paraId="369B979D" w14:textId="3012A6FF">
      <w:pPr>
        <w:pStyle w:val="Heading2"/>
      </w:pPr>
      <w:r>
        <w:t>În orice caz, este important ca digitalizarea să fie concepută ținând seama de consumatorii finali. Cetățenii așteaptă în continuare să beneficieze de servicii îmbunătățite ca urmare a digitalizării rapide, de exemplu prin schimbarea furnizorilor de la o zi la alta, raportări rapide cu privire la contoare defecte sau modele de utilizare suspecte și proceduri simplificate pentru conectarea propriei producții la rețea.</w:t>
      </w:r>
    </w:p>
    <w:p w:rsidRPr="00DC308B" w:rsidR="000B2261" w:rsidP="0087511F" w:rsidRDefault="000B2261" w14:paraId="7FE8AF83" w14:textId="77777777"/>
    <w:p w:rsidRPr="00DC308B" w:rsidR="0087511F" w:rsidP="00DC308B" w:rsidRDefault="00685417" w14:paraId="65E40740" w14:textId="222C885F">
      <w:pPr>
        <w:pStyle w:val="Heading1"/>
        <w:keepNext/>
        <w:rPr>
          <w:b/>
        </w:rPr>
      </w:pPr>
      <w:r>
        <w:rPr>
          <w:b/>
        </w:rPr>
        <w:t>Observații specifice</w:t>
      </w:r>
    </w:p>
    <w:p w:rsidRPr="00DC308B" w:rsidR="00685417" w:rsidP="00DC308B" w:rsidRDefault="00685417" w14:paraId="217868C6" w14:textId="0201492D">
      <w:pPr>
        <w:keepNext/>
      </w:pPr>
    </w:p>
    <w:p w:rsidRPr="00DC308B" w:rsidR="00685417" w:rsidP="00DC308B" w:rsidRDefault="00685417" w14:paraId="4B1F923B" w14:textId="49D70717">
      <w:pPr>
        <w:keepNext/>
        <w:ind w:left="567"/>
        <w:rPr>
          <w:i/>
          <w:color w:val="000000" w:themeColor="text1"/>
        </w:rPr>
      </w:pPr>
      <w:r>
        <w:rPr>
          <w:i/>
          <w:color w:val="000000" w:themeColor="text1"/>
        </w:rPr>
        <w:t>Referitor la capitolul privind decarbonizarea din raportul privind starea uniunii energetice</w:t>
      </w:r>
    </w:p>
    <w:p w:rsidRPr="00DC308B" w:rsidR="00685417" w:rsidP="00DC308B" w:rsidRDefault="00685417" w14:paraId="1539B655" w14:textId="77777777">
      <w:pPr>
        <w:keepNext/>
        <w:rPr>
          <w:color w:val="000000" w:themeColor="text1"/>
        </w:rPr>
      </w:pPr>
    </w:p>
    <w:p w:rsidRPr="00DC308B" w:rsidR="00685417" w:rsidP="00DC308B" w:rsidRDefault="00685417" w14:paraId="621486A3" w14:textId="33D31887">
      <w:pPr>
        <w:pStyle w:val="Heading2"/>
      </w:pPr>
      <w:r>
        <w:t>Comisia subliniază în mod corect că utilizarea energiilor regenerabile prezintă multe avantaje. Cu</w:t>
      </w:r>
      <w:r w:rsidR="00FF06C5">
        <w:t> </w:t>
      </w:r>
      <w:r>
        <w:t>toate acestea, răspunsul la întrebarea referitoare la cine beneficiază de pe urma acestor avantaje depinde în principal de modul în care este concepută tranziția energetică, urmând fie o abordare descentralizată, fie una centralizată</w:t>
      </w:r>
      <w:r w:rsidRPr="00DC308B">
        <w:rPr>
          <w:color w:val="000000" w:themeColor="text1"/>
          <w:sz w:val="24"/>
          <w:szCs w:val="24"/>
          <w:vertAlign w:val="superscript"/>
        </w:rPr>
        <w:footnoteReference w:id="8"/>
      </w:r>
      <w:r>
        <w:t>. Comisia omite acest punct în raportul său.</w:t>
      </w:r>
    </w:p>
    <w:p w:rsidRPr="00DC308B" w:rsidR="00685417" w:rsidP="00685417" w:rsidRDefault="00685417" w14:paraId="487DF80D" w14:textId="77777777"/>
    <w:p w:rsidRPr="00DC308B" w:rsidR="00685417" w:rsidP="00DC308B" w:rsidRDefault="00685417" w14:paraId="23A1E696" w14:textId="5937D2FF">
      <w:pPr>
        <w:pStyle w:val="Heading2"/>
        <w:keepNext/>
        <w:numPr>
          <w:ilvl w:val="0"/>
          <w:numId w:val="0"/>
        </w:numPr>
        <w:ind w:left="567" w:hanging="567"/>
        <w:rPr>
          <w:color w:val="000000" w:themeColor="text1"/>
        </w:rPr>
      </w:pPr>
      <w:r>
        <w:rPr>
          <w:i/>
          <w:color w:val="000000" w:themeColor="text1"/>
        </w:rPr>
        <w:tab/>
        <w:t>Referitor la capitolul privind securitatea energetică din raportul privind starea uniunii energetice</w:t>
      </w:r>
    </w:p>
    <w:p w:rsidRPr="00DC308B" w:rsidR="00685417" w:rsidP="00DC308B" w:rsidRDefault="00685417" w14:paraId="1517D67F" w14:textId="77777777">
      <w:pPr>
        <w:keepNext/>
        <w:rPr>
          <w:color w:val="000000" w:themeColor="text1"/>
        </w:rPr>
      </w:pPr>
    </w:p>
    <w:p w:rsidRPr="00DC308B" w:rsidR="00685417" w:rsidP="00685417" w:rsidRDefault="00685417" w14:paraId="4E8C7CFC" w14:textId="569D5ABA">
      <w:pPr>
        <w:pStyle w:val="Heading2"/>
      </w:pPr>
      <w:r>
        <w:t>Comisia acordă, în mod corect, o atenție sporită securității aprovizionării și, în acest context, securității energetice, deoarece aceasta joacă un rol indispensabil pentru economie. Pe lângă bine-cunoscuta problematică a dependenței de importuri, trebuie să se ia în considerare și reziliența la atacuri din exterior, cum ar fi criminalitatea cibernetică. Cercetările recente</w:t>
      </w:r>
      <w:r w:rsidRPr="00DC308B" w:rsidR="00311BE2">
        <w:rPr>
          <w:color w:val="000000" w:themeColor="text1"/>
          <w:sz w:val="24"/>
          <w:szCs w:val="24"/>
          <w:vertAlign w:val="superscript"/>
        </w:rPr>
        <w:footnoteReference w:id="9"/>
      </w:r>
      <w:r>
        <w:t xml:space="preserve"> au arătat că cea mai bună strategie pentru o reziliență sporită constă în consolidarea structurilor descentralizate, care pot funcționa în regim insularizat. Comisia ar trebui să țină mai bine seama de aceste rezultate.</w:t>
      </w:r>
    </w:p>
    <w:p w:rsidRPr="00DC308B" w:rsidR="00685417" w:rsidP="00685417" w:rsidRDefault="00685417" w14:paraId="7EA3A7E2" w14:textId="77777777"/>
    <w:p w:rsidRPr="00DC308B" w:rsidR="00685417" w:rsidP="00685417" w:rsidRDefault="00685417" w14:paraId="676C8F39" w14:textId="6AE89136">
      <w:pPr>
        <w:pStyle w:val="Heading2"/>
      </w:pPr>
      <w:r>
        <w:t>Cu siguranță, hidrogenul verde va contribui la asigurarea unui sistem energetic european sigur în viitor. CESE face trimitere la avizele sale privind Strategia privind hidrogenul</w:t>
      </w:r>
      <w:r w:rsidRPr="00DC308B" w:rsidR="000B2261">
        <w:rPr>
          <w:noProof/>
          <w:sz w:val="24"/>
          <w:szCs w:val="24"/>
          <w:vertAlign w:val="superscript"/>
        </w:rPr>
        <w:footnoteReference w:id="10"/>
      </w:r>
      <w:r>
        <w:t xml:space="preserve"> și Strategia de integrare a sistemului energetic</w:t>
      </w:r>
      <w:r w:rsidRPr="00DC308B" w:rsidR="000B2261">
        <w:rPr>
          <w:noProof/>
          <w:sz w:val="24"/>
          <w:szCs w:val="24"/>
          <w:vertAlign w:val="superscript"/>
        </w:rPr>
        <w:footnoteReference w:id="11"/>
      </w:r>
      <w:r>
        <w:t>.</w:t>
      </w:r>
    </w:p>
    <w:p w:rsidRPr="00DC308B" w:rsidR="00685417" w:rsidP="00685417" w:rsidRDefault="00685417" w14:paraId="6E29DFEE" w14:textId="6D468C06">
      <w:pPr>
        <w:rPr>
          <w:color w:val="000000" w:themeColor="text1"/>
        </w:rPr>
      </w:pPr>
    </w:p>
    <w:p w:rsidRPr="00DC308B" w:rsidR="0050749D" w:rsidP="00C146D8" w:rsidRDefault="0050749D" w14:paraId="4676B3FF" w14:textId="32788758">
      <w:pPr>
        <w:pStyle w:val="Heading2"/>
        <w:rPr>
          <w:color w:val="000000" w:themeColor="text1"/>
        </w:rPr>
      </w:pPr>
      <w:r>
        <w:t xml:space="preserve">Și în acest caz nu trebuie să gândim numai la scară largă (inclusiv cu privire la dezvoltarea infrastructurilor de import de hidrogen). Există o varietate de soluții inovatoare, ecologice și mai ales regionale/locale, care pot fi puse în aplicare direct pe teren (inclusiv producția regională de hidrogen sau de e-combustibili sintetici). Acest lucru va spori securitatea aprovizionării, va reduce </w:t>
      </w:r>
      <w:r>
        <w:lastRenderedPageBreak/>
        <w:t>dependența de importuri și va promova ocuparea forței de muncă la nivel local sub forma locurilor de muncă ecologice și valoarea adăugată în regiuni. Microîntreprinderile și întreprinderile mici și mijlocii ar trebui, de asemenea, să aibă posibilitatea de a participa la Pactul verde și de a beneficia de acesta, ceea ce va spori, de asemenea, gradul de acceptare a Pactului verde și a tranziției energetice.</w:t>
      </w:r>
    </w:p>
    <w:p w:rsidRPr="00DC308B" w:rsidR="0050749D" w:rsidP="00685417" w:rsidRDefault="0050749D" w14:paraId="23A67616" w14:textId="77777777">
      <w:pPr>
        <w:rPr>
          <w:color w:val="000000" w:themeColor="text1"/>
        </w:rPr>
      </w:pPr>
    </w:p>
    <w:p w:rsidRPr="00DC308B" w:rsidR="00685417" w:rsidP="00646DA7" w:rsidRDefault="00685417" w14:paraId="5780AE90" w14:textId="167F6ED1">
      <w:pPr>
        <w:pStyle w:val="Heading2"/>
        <w:keepNext/>
        <w:keepLines/>
        <w:numPr>
          <w:ilvl w:val="0"/>
          <w:numId w:val="0"/>
        </w:numPr>
        <w:ind w:left="567"/>
        <w:rPr>
          <w:color w:val="000000" w:themeColor="text1"/>
        </w:rPr>
      </w:pPr>
      <w:r>
        <w:rPr>
          <w:i/>
          <w:color w:val="000000" w:themeColor="text1"/>
        </w:rPr>
        <w:t>Referitor la capitolul privind piața internă a energiei din raportul privind starea uniunii energetice și la progresele înregistrate pe piața internă a energiei</w:t>
      </w:r>
    </w:p>
    <w:p w:rsidRPr="00DC308B" w:rsidR="00685417" w:rsidP="00646DA7" w:rsidRDefault="00685417" w14:paraId="7EB5A2F3" w14:textId="77777777">
      <w:pPr>
        <w:keepNext/>
        <w:keepLines/>
      </w:pPr>
    </w:p>
    <w:p w:rsidRPr="00DC308B" w:rsidR="00685417" w:rsidP="00646DA7" w:rsidRDefault="00685417" w14:paraId="19393FE9" w14:textId="66A6F5C7">
      <w:pPr>
        <w:pStyle w:val="Heading2"/>
        <w:keepNext/>
        <w:keepLines/>
      </w:pPr>
      <w:r>
        <w:t xml:space="preserve">Comisia afirmă că pachetul „Energie curată” a creat condiții mai bune pentru a încuraja participarea consumatorilor la piețele energiei și condiții de concurență echitabile pentru noii intrați pe piață. În realitate, doar dispozițiile Directivei privind piața internă de energie electrică sunt relevante în acest sens. Nu este încă posibil să se determine în ce măsură statele membre au pus efectiv în aplicare aceste dispoziții. Prin urmare, concluzia trasă de Comisie este pripită. CESE solicită Comisiei să efectueze urgent o evaluare detaliată a obiectivului fundamental al participării consumatorilor, inclusiv în ceea ce privește efectele distributive, în sensul participării gospodăriilor cu venituri mici. </w:t>
      </w:r>
    </w:p>
    <w:p w:rsidRPr="00DC308B" w:rsidR="00685417" w:rsidP="00685417" w:rsidRDefault="00685417" w14:paraId="44559C65" w14:textId="77777777"/>
    <w:p w:rsidRPr="00DC308B" w:rsidR="004E60D8" w:rsidP="00500770" w:rsidRDefault="00685417" w14:paraId="0CCF668F" w14:textId="070FAD7D">
      <w:pPr>
        <w:pStyle w:val="Heading2"/>
      </w:pPr>
      <w:r>
        <w:t>Comisia subliniază importanța semnalelor de preț de pe piață, inclusiv pentru investitori. Acest lucru reprezintă, fără îndoială, un aspect important. Cu toate acestea, aici este nevoie de o viziune mai diferențiată. Majoritatea piețelor de energie electrică cu ridicata reflectă prețurile pe termen scurt. Există controverse în domeniul economiei energiei cu privire la măsura în care aceste prețuri pe termen scurt transmit investitorilor semnale. Acest aspect a fost deja semnalat într-un aviz anterior al CESE</w:t>
      </w:r>
      <w:r w:rsidRPr="00DC308B">
        <w:rPr>
          <w:sz w:val="24"/>
          <w:szCs w:val="24"/>
          <w:vertAlign w:val="superscript"/>
        </w:rPr>
        <w:footnoteReference w:id="12"/>
      </w:r>
      <w:r>
        <w:t>. Așadar, în acest context, lipsa unei abordări diferențiate din partea Comisiei cu privire la „piața internă a energiei” nu este oportună. Elaborarea unui nou cadru de funcționare a pieței, cel puțin în domeniul electricității, este indispensabilă pentru succesul uniunii energetice. Doar responsabilitatea deplină privind echilibrul în materie de energie din surse regenerabile nu este suficientă. Prin urmare, CESE invită Comisia să prezinte cât mai curând o propunere de revizuire a cadrului de funcționare a pieței. În acest context, este necesar ca toți participanții la piață să beneficieze de condiții egale pe piețele de compensare și de echilibrare. Acest lucru este, de asemenea, indispensabil pentru succesul integrării sistemului energetic</w:t>
      </w:r>
      <w:r w:rsidRPr="00DC308B" w:rsidR="00135E40">
        <w:rPr>
          <w:noProof/>
          <w:sz w:val="24"/>
          <w:szCs w:val="24"/>
          <w:vertAlign w:val="superscript"/>
        </w:rPr>
        <w:footnoteReference w:id="13"/>
      </w:r>
      <w:r>
        <w:t>.</w:t>
      </w:r>
    </w:p>
    <w:p w:rsidRPr="00DC308B" w:rsidR="004E60D8" w:rsidP="00C146D8" w:rsidRDefault="004E60D8" w14:paraId="2E5879A1" w14:textId="77777777"/>
    <w:p w:rsidRPr="00DC308B" w:rsidR="00685417" w:rsidP="00500770" w:rsidRDefault="000B2261" w14:paraId="235DA4DC" w14:textId="4EB83B7F">
      <w:pPr>
        <w:pStyle w:val="Heading2"/>
      </w:pPr>
      <w:r>
        <w:t>De asemenea, este necesar să se țină seama de faptul că nu se pot atinge obiectivele de securitate a aprovizionării și neutralitate climatică exclusiv pe baza semnalelor privind prețurile.</w:t>
      </w:r>
    </w:p>
    <w:p w:rsidRPr="00DC308B" w:rsidR="00685417" w:rsidP="00685417" w:rsidRDefault="00685417" w14:paraId="5A8A616A" w14:textId="77777777"/>
    <w:p w:rsidRPr="00DC308B" w:rsidR="00685417" w:rsidP="00500770" w:rsidRDefault="00685417" w14:paraId="09C80304" w14:textId="75B62E0F">
      <w:pPr>
        <w:pStyle w:val="Heading2"/>
        <w:rPr>
          <w:noProof/>
        </w:rPr>
      </w:pPr>
      <w:r>
        <w:t xml:space="preserve">În raportul său privind progresele înregistrate pe piața internă a energiei, Comisia subliniază că facilitarea concurenței la nivelul producției și al aprovizionării trebuie să rămână o prioritate pentru politica națională și a UE în domeniul energiei. Totuși, nu lasă să se întrevadă ce înseamnă acest lucru în mod concret. Premisa potrivit căreia concurența nu poate fi promovată decât prin cuplarea piețelor este greșită și nu este în conformitate cu legislația europeană ancorată în pachetul „Energie curată”. Punerea în aplicare a principiilor pentru alocarea capacității și gestionarea congestiei în temeiul articolului 16 din Regulamentul privind piața de energie electrică ar trebui </w:t>
      </w:r>
      <w:r>
        <w:lastRenderedPageBreak/>
        <w:t xml:space="preserve">să se realizeze ținând seama de așezarea geografică a statelor membre, ceea ce ar putea justifica, de asemenea, o prelungire a termenului-limită pentru construirea capacităților. În orice caz, accesul pe piață este important, în special pentru actorii mai mici, pentru a asigura o concurență activă. În acest sens, digitalizarea, printre altele, poate fi de mare ajutor. </w:t>
      </w:r>
    </w:p>
    <w:p w:rsidRPr="00DC308B" w:rsidR="00685417" w:rsidP="00685417" w:rsidRDefault="00685417" w14:paraId="1BB20C7F" w14:textId="77777777"/>
    <w:p w:rsidRPr="00DC308B" w:rsidR="00685417" w:rsidP="00500770" w:rsidRDefault="00685417" w14:paraId="18963609" w14:textId="46724D4D">
      <w:pPr>
        <w:pStyle w:val="Heading2"/>
        <w:rPr>
          <w:noProof/>
        </w:rPr>
      </w:pPr>
      <w:r>
        <w:t>În raportul său privind progresele înregistrate pe piața internă a energiei, Comisia precizează că, deși centralele termice, de exemplu centralele de cogenerare pe bază de gaz, pot să ofere sistemului flexibilitatea necesară, mecanismele de capacitate necorespunzătoare pot să distorsioneze sever piața internă. CESE menționează, în acest context, punctul de vedere exprimat în avizul TEN/625. CESE solicită Comisiei să efectueze o evaluare critică a mecanismelor de capacitate existente în statele membre, inclusiv în ceea ce privește respectarea cerințelor prevăzute la articolul 22 din Regulamentul privind piața internă de energie electrică, care stabilește, printre altele, o limită de 550 g CO</w:t>
      </w:r>
      <w:r>
        <w:rPr>
          <w:vertAlign w:val="subscript"/>
        </w:rPr>
        <w:t>2</w:t>
      </w:r>
      <w:r>
        <w:t>/kWh.</w:t>
      </w:r>
    </w:p>
    <w:p w:rsidRPr="00DC308B" w:rsidR="00685417" w:rsidP="00685417" w:rsidRDefault="00685417" w14:paraId="55A3BF33" w14:textId="77777777"/>
    <w:p w:rsidRPr="00DC308B" w:rsidR="00685417" w:rsidP="00500770" w:rsidRDefault="00685417" w14:paraId="05EAEFC2" w14:textId="537C0A69">
      <w:pPr>
        <w:pStyle w:val="Heading2"/>
        <w:rPr>
          <w:noProof/>
        </w:rPr>
      </w:pPr>
      <w:r>
        <w:t>În raportul său privind progresele înregistrate pe piața internă a energiei, Comisia reamintește că operatorii de sisteme de transport sau distribuție au fost, în general, excluși de la deținerea și operarea sistemelor de stocare a energiei electrice. CESE a salutat în principiu această decizie</w:t>
      </w:r>
      <w:r w:rsidRPr="00DC308B">
        <w:rPr>
          <w:noProof/>
          <w:sz w:val="24"/>
          <w:szCs w:val="24"/>
          <w:vertAlign w:val="superscript"/>
        </w:rPr>
        <w:footnoteReference w:id="14"/>
      </w:r>
      <w:r>
        <w:t>, deși operatorilor de sisteme de distribuție ar trebui să li se permită să dețină și să opereze sisteme de stocare a energiei electrice în scopuri de deservire a rețelei. De asemenea, consideră că acest lucru trebuie să se realizeze în paralel cu consolidarea „piețelor inteligente”, astfel încât operatorii de stocare să aibă un imbold pentru a urmări semnalele transmise de operatorii de rețea și pentru a-și proiecta unitățile de stocare într-un mod util sistemului. Operatorii de rețea au nevoie de stimulente adecvate pentru a trimite aceste semnale.</w:t>
      </w:r>
    </w:p>
    <w:p w:rsidRPr="00DC308B" w:rsidR="00685417" w:rsidP="00685417" w:rsidRDefault="00685417" w14:paraId="139350B0" w14:textId="0DE4B12D"/>
    <w:p w:rsidRPr="00DC308B" w:rsidR="00384DFA" w:rsidP="00C146D8" w:rsidRDefault="00384DFA" w14:paraId="196DD441" w14:textId="7A460097">
      <w:pPr>
        <w:pStyle w:val="Heading2"/>
      </w:pPr>
      <w:r>
        <w:t>Rețelele de distribuție joacă un rol fundamental în implementarea piețelor inteligente și, în general, pentru o tranziție energetică reușită. Prin urmare, în viitor, politica energetică a Uniunii trebuie să se concentreze mai mult pe modernizarea acesteia.</w:t>
      </w:r>
    </w:p>
    <w:p w:rsidRPr="00DC308B" w:rsidR="00384DFA" w:rsidP="00685417" w:rsidRDefault="00384DFA" w14:paraId="22FED3A9" w14:textId="77777777"/>
    <w:p w:rsidRPr="00DC308B" w:rsidR="00685417" w:rsidP="00500770" w:rsidRDefault="00685417" w14:paraId="158B395F" w14:textId="3AA2F7DF">
      <w:pPr>
        <w:pStyle w:val="Heading2"/>
      </w:pPr>
      <w:r>
        <w:t>CESE este de acord cu Comisia în ceea ce privește faptul că obiectivul principal al Directivei 2003/96/CE privind impozitarea energiei nu mai poate fi atins. Prin urmare, susține afirmațiile Comisiei și solicită o revizuire ambițioasă a acestei directive și a altor mecanisme, pentru a elimina treptat subvențiile pentru combustibilii fosili și pentru a internaliza costurile externe.</w:t>
      </w:r>
    </w:p>
    <w:p w:rsidRPr="00DC308B" w:rsidR="00685417" w:rsidP="00685417" w:rsidRDefault="00685417" w14:paraId="1924A54A" w14:textId="77777777"/>
    <w:p w:rsidRPr="00DC308B" w:rsidR="00685417" w:rsidP="00500770" w:rsidRDefault="00685417" w14:paraId="2DE5CF11" w14:textId="1B8EAD02">
      <w:pPr>
        <w:pStyle w:val="Heading2"/>
        <w:rPr>
          <w:noProof/>
        </w:rPr>
      </w:pPr>
      <w:r>
        <w:t>CESE subliniază încă o dată problematica sărăciei energetice și invită Comisia să ia măsuri concrete care depășesc sfera orientărilor abstracte privind definirea sărăciei energetice și înființarea unui observator. CESE a subliniat în repetate rânduri că participarea extinsă a cetățenilor în domeniul energiei este una dintre abordările care pot servi în acest sens.</w:t>
      </w:r>
    </w:p>
    <w:p w:rsidRPr="00DC308B" w:rsidR="00685417" w:rsidP="00685417" w:rsidRDefault="00685417" w14:paraId="5A825D5A" w14:textId="345177E9"/>
    <w:p w:rsidRPr="00DC308B" w:rsidR="00A67921" w:rsidP="0092523D" w:rsidRDefault="00A67921" w14:paraId="3472064E" w14:textId="4D670D83">
      <w:pPr>
        <w:pStyle w:val="Heading2"/>
      </w:pPr>
      <w:r>
        <w:t xml:space="preserve">În acest context, CESE reamintește poziția sa, potrivit căreia trebuie neapărat evitată o societate energetică divizată pe două niveluri. Nu este admisibil ca numai gospodăriile cu o bună situație materială și tehnică să poată profita de tranziția energetică și toate celelalte gospodării să trebuiască să suporte costurile. De regulă, cetățenii afectați de sărăcia energetică nu sunt cei mai puternici din punct de vedere politic. Prin urmare, Comisia ar trebui să depună eforturi mai </w:t>
      </w:r>
      <w:r>
        <w:lastRenderedPageBreak/>
        <w:t>susținute, astfel încât statele membre să sprijine activ combaterea sărăciei energetice. Atât valul planificat de renovări energetice din sectorul construcțiilor, cât și implicarea activă a cetățenilor în producția de energie electrică regenerabilă pot contribui la atenuarea sărăciei energetice. De</w:t>
      </w:r>
      <w:r w:rsidR="00FF06C5">
        <w:t> </w:t>
      </w:r>
      <w:r>
        <w:t>asemenea, ar trebui remarcat faptul că posibila extindere a sistemului de comercializare a certificatelor de emisii la sectorul încălzirii și al transporturilor poate avea un impact asupra distribuției echitabile.</w:t>
      </w:r>
    </w:p>
    <w:p w:rsidRPr="00DC308B" w:rsidR="00A67921" w:rsidP="00685417" w:rsidRDefault="00A67921" w14:paraId="5AA8EB9F" w14:textId="77777777"/>
    <w:p w:rsidRPr="00DC308B" w:rsidR="00685417" w:rsidP="00DC308B" w:rsidRDefault="00685417" w14:paraId="564429B9" w14:textId="71FB1348">
      <w:pPr>
        <w:keepNext/>
        <w:ind w:left="567"/>
        <w:rPr>
          <w:i/>
          <w:color w:val="000000" w:themeColor="text1"/>
        </w:rPr>
      </w:pPr>
      <w:r>
        <w:rPr>
          <w:i/>
          <w:color w:val="000000" w:themeColor="text1"/>
        </w:rPr>
        <w:t>Referitor la capitolul privind cercetarea, inovarea și competitivitatea din raportul privind starea uniunii energetice</w:t>
      </w:r>
    </w:p>
    <w:p w:rsidRPr="00DC308B" w:rsidR="00685417" w:rsidP="00DC308B" w:rsidRDefault="00685417" w14:paraId="10018ADB" w14:textId="77777777">
      <w:pPr>
        <w:keepNext/>
      </w:pPr>
    </w:p>
    <w:p w:rsidRPr="00DC308B" w:rsidR="00685417" w:rsidP="00500770" w:rsidRDefault="00685417" w14:paraId="2638B593" w14:textId="623CF80E">
      <w:pPr>
        <w:pStyle w:val="Heading2"/>
        <w:rPr>
          <w:noProof/>
        </w:rPr>
      </w:pPr>
      <w:r>
        <w:t>CESE își exprimă îngrijorarea cu privire la faptul că unul dintre motivele pentru care UE a rămas în urmă în anumite domenii, de exemplu cel al bateriilor folosite pentru panourile solare și al bateriilor litiu-ion, constă în cererea prea mică. Prin urmare, CESE solicită Comisiei să adopte o strategie mai extinsă. UE are nevoie de inițiative active de politică industrială pentru a pune capăt dominației Chinei pe piață. Propunerea Comisiei pentru un regulament privind bateriile este un pas în direcția cea bună. În plus, structurile descentralizate ar trebui consolidate în viitorul sistem energetic. Acest lucru ar duce la creșterea cererii de baterii. De exemplu, ar genera economii de scară și ar face bateriile atractive din punctul de vedere al prețului.</w:t>
      </w:r>
    </w:p>
    <w:p w:rsidRPr="00DC308B" w:rsidR="00685417" w:rsidP="00685417" w:rsidRDefault="00685417" w14:paraId="689A7CDA" w14:textId="77777777"/>
    <w:p w:rsidRPr="00DC308B" w:rsidR="00685417" w:rsidP="00646DA7" w:rsidRDefault="00685417" w14:paraId="09B496BC" w14:textId="37547AB0">
      <w:pPr>
        <w:pStyle w:val="Heading2"/>
        <w:keepNext/>
        <w:keepLines/>
        <w:numPr>
          <w:ilvl w:val="0"/>
          <w:numId w:val="0"/>
        </w:numPr>
        <w:ind w:left="567"/>
        <w:rPr>
          <w:i/>
          <w:color w:val="000000" w:themeColor="text1"/>
        </w:rPr>
      </w:pPr>
      <w:r>
        <w:rPr>
          <w:i/>
        </w:rPr>
        <w:t>Referitor la capitolul Uniunea energetică în contextul Pactului verde european din raportul privind starea uniunii energetice</w:t>
      </w:r>
    </w:p>
    <w:p w:rsidRPr="00DC308B" w:rsidR="00685417" w:rsidP="00646DA7" w:rsidRDefault="00685417" w14:paraId="70074E1C" w14:textId="77777777">
      <w:pPr>
        <w:keepNext/>
        <w:keepLines/>
      </w:pPr>
    </w:p>
    <w:p w:rsidRPr="00DC308B" w:rsidR="00685417" w:rsidP="00500770" w:rsidRDefault="00685417" w14:paraId="634C81A1" w14:textId="03F7D60C">
      <w:pPr>
        <w:pStyle w:val="Heading2"/>
        <w:rPr>
          <w:noProof/>
        </w:rPr>
      </w:pPr>
      <w:r>
        <w:t>CESE sprijină Comisia în eforturile sale de a promova acorduri ambițioase privind schimbările climatice la nivel mondial. În acest sens, este necesar să se introducă o taxă de ajustare vamală și să se țină seama de protecția climatică (și alte obiective de sustenabilitate), într-o manieră mai ambițioasă și mai concretă, în acordurile comerciale internaționale</w:t>
      </w:r>
      <w:r w:rsidRPr="00DC308B">
        <w:rPr>
          <w:noProof/>
          <w:sz w:val="24"/>
          <w:szCs w:val="24"/>
          <w:vertAlign w:val="superscript"/>
        </w:rPr>
        <w:footnoteReference w:id="15"/>
      </w:r>
      <w:r>
        <w:t>.</w:t>
      </w:r>
    </w:p>
    <w:p w:rsidRPr="00DC308B" w:rsidR="00685417" w:rsidP="00685417" w:rsidRDefault="00685417" w14:paraId="0915E844" w14:textId="77777777"/>
    <w:p w:rsidRPr="00DC308B" w:rsidR="00685417" w:rsidP="00DC308B" w:rsidRDefault="00685417" w14:paraId="287C25F6" w14:textId="1EED327C">
      <w:pPr>
        <w:pStyle w:val="Heading2"/>
        <w:keepNext/>
        <w:numPr>
          <w:ilvl w:val="0"/>
          <w:numId w:val="0"/>
        </w:numPr>
        <w:ind w:left="567"/>
        <w:rPr>
          <w:i/>
          <w:color w:val="000000" w:themeColor="text1"/>
        </w:rPr>
      </w:pPr>
      <w:r>
        <w:rPr>
          <w:i/>
          <w:color w:val="000000" w:themeColor="text1"/>
        </w:rPr>
        <w:t>Referitor la Comunicarea privind evaluarea PNEC</w:t>
      </w:r>
    </w:p>
    <w:p w:rsidRPr="00DC308B" w:rsidR="00685417" w:rsidP="00DC308B" w:rsidRDefault="00685417" w14:paraId="3DC91D1E" w14:textId="77777777">
      <w:pPr>
        <w:keepNext/>
      </w:pPr>
    </w:p>
    <w:p w:rsidRPr="00DC308B" w:rsidR="00685417" w:rsidP="00500770" w:rsidRDefault="00685417" w14:paraId="676EDE10" w14:textId="0CB6943E">
      <w:pPr>
        <w:pStyle w:val="Heading2"/>
        <w:rPr>
          <w:noProof/>
        </w:rPr>
      </w:pPr>
      <w:r>
        <w:t xml:space="preserve">CESE consideră că este dificil de înțeles de ce Comisia critică evaluarea insuficientă a potențialului energiilor regenerabile doar cu referire la sectorul </w:t>
      </w:r>
      <w:proofErr w:type="spellStart"/>
      <w:r>
        <w:t>offshore</w:t>
      </w:r>
      <w:proofErr w:type="spellEnd"/>
      <w:r>
        <w:t xml:space="preserve">. CESE solicită Comisiei să renunțe la privilegierea unilaterală a tehnologiilor </w:t>
      </w:r>
      <w:proofErr w:type="spellStart"/>
      <w:r>
        <w:t>offshore</w:t>
      </w:r>
      <w:proofErr w:type="spellEnd"/>
      <w:r>
        <w:t xml:space="preserve"> în detrimentul energiei fotovoltaice și al energiei eoliene terestre și să prezinte strategii de dezvoltare a acestor tehnologii. </w:t>
      </w:r>
    </w:p>
    <w:p w:rsidRPr="00DC308B" w:rsidR="00685417" w:rsidP="00685417" w:rsidRDefault="00685417" w14:paraId="234A07AC" w14:textId="77777777"/>
    <w:p w:rsidRPr="00DC308B" w:rsidR="00685417" w:rsidP="00500770" w:rsidRDefault="00685417" w14:paraId="6A150EA0" w14:textId="4EC59E53">
      <w:pPr>
        <w:pStyle w:val="Heading2"/>
      </w:pPr>
      <w:r>
        <w:t>CESE ia notă cu satisfacție de faptul că Comisia recunoaște potențialul energiilor regenerabile pentru crearea de locuri de muncă. Cu toate acestea, subliniază că acest potențial nu va fi exploatat complet în mod automat, ci va necesita politici active, în special în ceea ce privește calitatea locurilor de muncă. În acest context, este complet de neînțeles faptul că Comisia acordă atât de puțină atenție sectorului fotovoltaic, având în vedere că acesta generează cele mai multe locuri de muncă, după cum se menționează în comunicare.</w:t>
      </w:r>
    </w:p>
    <w:p w:rsidRPr="00DC308B" w:rsidR="00685417" w:rsidP="00685417" w:rsidRDefault="00685417" w14:paraId="44DEF25B" w14:textId="77777777"/>
    <w:p w:rsidRPr="00DC308B" w:rsidR="00685417" w:rsidP="00500770" w:rsidRDefault="00685417" w14:paraId="38046BEB" w14:textId="6B6188E1">
      <w:pPr>
        <w:pStyle w:val="Heading2"/>
      </w:pPr>
      <w:r>
        <w:lastRenderedPageBreak/>
        <w:t>Cu ocazia revizuirii Directivei privind energia din surse regenerabile, CESE invită Comisia Europeană să elaboreze norme privind achizițiile publice, astfel încât să faciliteze participarea comunităților de energie regenerabilă și a IMM-urilor.</w:t>
      </w:r>
    </w:p>
    <w:p w:rsidRPr="00DC308B" w:rsidR="00685417" w:rsidP="00685417" w:rsidRDefault="00685417" w14:paraId="1CACEE90" w14:textId="77777777"/>
    <w:p w:rsidRPr="00DC308B" w:rsidR="00685417" w:rsidP="00500770" w:rsidRDefault="00685417" w14:paraId="3148DC23" w14:textId="77777777">
      <w:pPr>
        <w:pStyle w:val="Heading2"/>
      </w:pPr>
      <w:r>
        <w:t>CESE este de acord cu afirmația Comisiei potrivit căreia ar fi de dorit să se realizeze investiții în sistemele de termoficare la temperatură joasă. Ar trebui să se lanseze o inițiativă în acest sens.</w:t>
      </w:r>
    </w:p>
    <w:p w:rsidRPr="00DC308B" w:rsidR="00685417" w:rsidP="00685417" w:rsidRDefault="00685417" w14:paraId="5331EBAD" w14:textId="77777777"/>
    <w:p w:rsidRPr="00DC308B" w:rsidR="00685417" w:rsidP="00500770" w:rsidRDefault="00685417" w14:paraId="3D2B3832" w14:textId="3F39BEB3">
      <w:pPr>
        <w:pStyle w:val="Heading2"/>
      </w:pPr>
      <w:r>
        <w:t>Absorbanții de dioxid de carbon reprezintă un instrument important de combatere a schimbărilor climatice. Cu toate acestea, ar trebui să se ia în serios îngrijorarea exprimată de statele membre în PNEC, cu privire la intensificarea perturbărilor naturale. Prin urmare, creditele LULUCF ar trebui să reprezinte instrumente complementare altor variante de combatere a schimbărilor climatice.</w:t>
      </w:r>
    </w:p>
    <w:p w:rsidR="00685417" w:rsidP="00685417" w:rsidRDefault="00685417" w14:paraId="0660F0E8" w14:textId="1ECD62CB"/>
    <w:p w:rsidR="00AB3327" w:rsidP="00AB3327" w:rsidRDefault="00AB3327" w14:paraId="45BADF80" w14:textId="330E53C1">
      <w:pPr>
        <w:outlineLvl w:val="1"/>
      </w:pPr>
      <w:r>
        <w:t>Bruxelles, 24 martie 2021</w:t>
      </w:r>
    </w:p>
    <w:p w:rsidR="00AB3327" w:rsidP="00AB3327" w:rsidRDefault="00AB3327" w14:paraId="2D1D177B" w14:textId="77777777">
      <w:pPr>
        <w:outlineLvl w:val="1"/>
      </w:pPr>
    </w:p>
    <w:p w:rsidR="00AB3327" w:rsidP="00AB3327" w:rsidRDefault="00AB3327" w14:paraId="501A8553" w14:textId="3D66857E">
      <w:pPr>
        <w:outlineLvl w:val="1"/>
      </w:pPr>
    </w:p>
    <w:p w:rsidR="00851062" w:rsidP="00AB3327" w:rsidRDefault="00851062" w14:paraId="211C0B91" w14:textId="06A53EA9">
      <w:pPr>
        <w:outlineLvl w:val="1"/>
      </w:pPr>
    </w:p>
    <w:p w:rsidR="00851062" w:rsidP="00AB3327" w:rsidRDefault="00851062" w14:paraId="0C619903" w14:textId="77777777">
      <w:pPr>
        <w:outlineLvl w:val="1"/>
      </w:pPr>
    </w:p>
    <w:p w:rsidRPr="001A281B" w:rsidR="00267FEF" w:rsidP="00AB3327" w:rsidRDefault="00482A20" w14:paraId="5F941438" w14:textId="71AFB0DA">
      <w:pPr>
        <w:outlineLvl w:val="1"/>
      </w:pPr>
      <w:proofErr w:type="spellStart"/>
      <w:r>
        <w:t>Christa</w:t>
      </w:r>
      <w:proofErr w:type="spellEnd"/>
      <w:r>
        <w:t xml:space="preserve"> SCHWENG</w:t>
      </w:r>
    </w:p>
    <w:p w:rsidRPr="00CA4297" w:rsidR="00AB3327" w:rsidP="00AB3327" w:rsidRDefault="00482A20" w14:paraId="6B9A2D25" w14:textId="0D2DA142">
      <w:r>
        <w:rPr>
          <w:color w:val="333333"/>
          <w:shd w:val="clear" w:color="auto" w:fill="FFFFFF"/>
        </w:rPr>
        <w:t>Președinta Comitetului Economic și Social European</w:t>
      </w:r>
    </w:p>
    <w:p w:rsidR="00FF06C5" w:rsidP="00BC3F01" w:rsidRDefault="00FF06C5" w14:paraId="49C4B21E" w14:textId="77777777">
      <w:pPr>
        <w:jc w:val="center"/>
      </w:pPr>
    </w:p>
    <w:p w:rsidRPr="00DC308B" w:rsidR="00646AC2" w:rsidP="00BC3F01" w:rsidRDefault="00646AC2" w14:paraId="5B3BE5E5" w14:textId="734218F7">
      <w:pPr>
        <w:jc w:val="center"/>
      </w:pPr>
      <w:r>
        <w:t>_____________</w:t>
      </w:r>
    </w:p>
    <w:sectPr w:rsidRPr="00DC308B" w:rsidR="00646AC2" w:rsidSect="00BD2EB9">
      <w:headerReference w:type="even" r:id="rId9"/>
      <w:headerReference w:type="default" r:id="rId10"/>
      <w:footerReference w:type="even" r:id="rId11"/>
      <w:footerReference w:type="default" r:id="rId12"/>
      <w:headerReference w:type="first" r:id="rId13"/>
      <w:footerReference w:type="first" r:id="rId14"/>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7763E7" w14:textId="77777777" w:rsidR="00395D5B" w:rsidRDefault="00395D5B">
      <w:r>
        <w:separator/>
      </w:r>
    </w:p>
  </w:endnote>
  <w:endnote w:type="continuationSeparator" w:id="0">
    <w:p w14:paraId="7E031B62" w14:textId="77777777" w:rsidR="00395D5B" w:rsidRDefault="00395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638AF" w14:textId="03C8AFDB" w:rsidR="00024C5A" w:rsidRPr="00BD2EB9" w:rsidRDefault="00BD2EB9" w:rsidP="00BD2EB9">
    <w:pPr>
      <w:pStyle w:val="Footer"/>
    </w:pPr>
    <w:r>
      <w:t>TEN/724 – EESC-2020-04915-00-0</w:t>
    </w:r>
    <w:r w:rsidR="00B439A3">
      <w:t>1</w:t>
    </w:r>
    <w:r>
      <w:t xml:space="preserve">-AC-TRA (EN) </w:t>
    </w:r>
    <w:r>
      <w:fldChar w:fldCharType="begin"/>
    </w:r>
    <w:r>
      <w:instrText xml:space="preserve"> PAGE  \* Arabic  \* MERGEFORMAT </w:instrText>
    </w:r>
    <w:r>
      <w:fldChar w:fldCharType="separate"/>
    </w:r>
    <w:r w:rsidR="00B439A3">
      <w:rPr>
        <w:noProof/>
      </w:rPr>
      <w:t>1</w:t>
    </w:r>
    <w:r>
      <w:fldChar w:fldCharType="end"/>
    </w:r>
    <w:r>
      <w:t>/</w:t>
    </w:r>
    <w:r w:rsidR="00FF06C5">
      <w:fldChar w:fldCharType="begin"/>
    </w:r>
    <w:r w:rsidR="00FF06C5">
      <w:instrText xml:space="preserve"> NUMPAGES </w:instrText>
    </w:r>
    <w:r w:rsidR="00FF06C5">
      <w:fldChar w:fldCharType="separate"/>
    </w:r>
    <w:r w:rsidR="00B439A3">
      <w:rPr>
        <w:noProof/>
      </w:rPr>
      <w:t>14</w:t>
    </w:r>
    <w:r w:rsidR="00FF06C5">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9B036" w14:textId="77777777" w:rsidR="00024C5A" w:rsidRPr="00BD2EB9" w:rsidRDefault="00024C5A" w:rsidP="00BD2E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922F6" w14:textId="0FA57573" w:rsidR="00024C5A" w:rsidRPr="00BD2EB9" w:rsidRDefault="00BD2EB9" w:rsidP="00BD2EB9">
    <w:pPr>
      <w:pStyle w:val="Footer"/>
    </w:pPr>
    <w:r>
      <w:t>TEN/724 – EESC-2020-04915-00-0</w:t>
    </w:r>
    <w:r w:rsidR="00B439A3">
      <w:t>1</w:t>
    </w:r>
    <w:r>
      <w:t xml:space="preserve">-AC-TRA (EN) </w:t>
    </w:r>
    <w:r>
      <w:fldChar w:fldCharType="begin"/>
    </w:r>
    <w:r>
      <w:instrText xml:space="preserve"> PAGE  \* Arabic  \* MERGEFORMAT </w:instrText>
    </w:r>
    <w:r>
      <w:fldChar w:fldCharType="separate"/>
    </w:r>
    <w:r w:rsidR="00B439A3">
      <w:rPr>
        <w:noProof/>
      </w:rPr>
      <w:t>14</w:t>
    </w:r>
    <w:r>
      <w:fldChar w:fldCharType="end"/>
    </w:r>
    <w:r>
      <w:t>/</w:t>
    </w:r>
    <w:r w:rsidR="00FF06C5">
      <w:fldChar w:fldCharType="begin"/>
    </w:r>
    <w:r w:rsidR="00FF06C5">
      <w:instrText xml:space="preserve"> NUMPAGES </w:instrText>
    </w:r>
    <w:r w:rsidR="00FF06C5">
      <w:fldChar w:fldCharType="separate"/>
    </w:r>
    <w:r w:rsidR="00B439A3">
      <w:rPr>
        <w:noProof/>
      </w:rPr>
      <w:t>14</w:t>
    </w:r>
    <w:r w:rsidR="00FF06C5">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8BD64" w14:textId="77777777" w:rsidR="00024C5A" w:rsidRPr="00BD2EB9" w:rsidRDefault="00024C5A" w:rsidP="00BD2E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529C08" w14:textId="77777777" w:rsidR="00395D5B" w:rsidRDefault="00395D5B">
      <w:r>
        <w:separator/>
      </w:r>
    </w:p>
  </w:footnote>
  <w:footnote w:type="continuationSeparator" w:id="0">
    <w:p w14:paraId="54F1CA9C" w14:textId="77777777" w:rsidR="00395D5B" w:rsidRDefault="00395D5B">
      <w:r>
        <w:continuationSeparator/>
      </w:r>
    </w:p>
  </w:footnote>
  <w:footnote w:id="1">
    <w:p w14:paraId="52DB30A6" w14:textId="63658433" w:rsidR="00024C5A" w:rsidRPr="00DF21DA" w:rsidRDefault="00024C5A">
      <w:pPr>
        <w:pStyle w:val="FootnoteText"/>
      </w:pPr>
      <w:r>
        <w:rPr>
          <w:sz w:val="24"/>
          <w:szCs w:val="24"/>
          <w:vertAlign w:val="superscript"/>
        </w:rPr>
        <w:footnoteRef/>
      </w:r>
      <w:r>
        <w:tab/>
      </w:r>
      <w:hyperlink r:id="rId1" w:history="1">
        <w:r>
          <w:rPr>
            <w:rStyle w:val="Hyperlink"/>
          </w:rPr>
          <w:t>COM(2015) 80 final</w:t>
        </w:r>
      </w:hyperlink>
      <w:r>
        <w:t>.</w:t>
      </w:r>
    </w:p>
  </w:footnote>
  <w:footnote w:id="2">
    <w:p w14:paraId="69D68615" w14:textId="11E16266" w:rsidR="00024C5A" w:rsidRPr="00CA11FD" w:rsidRDefault="00024C5A">
      <w:pPr>
        <w:pStyle w:val="FootnoteText"/>
      </w:pPr>
      <w:r>
        <w:rPr>
          <w:sz w:val="24"/>
          <w:szCs w:val="24"/>
          <w:vertAlign w:val="superscript"/>
        </w:rPr>
        <w:footnoteRef/>
      </w:r>
      <w:r>
        <w:tab/>
      </w:r>
      <w:hyperlink r:id="rId2" w:history="1">
        <w:r>
          <w:rPr>
            <w:rStyle w:val="Hyperlink"/>
          </w:rPr>
          <w:t>COM(2020) 950 final, anexa 2</w:t>
        </w:r>
      </w:hyperlink>
      <w:r>
        <w:t>.</w:t>
      </w:r>
    </w:p>
  </w:footnote>
  <w:footnote w:id="3">
    <w:p w14:paraId="1AE824D7" w14:textId="7403A7F0" w:rsidR="00024C5A" w:rsidRPr="009604B4" w:rsidRDefault="00024C5A" w:rsidP="00DF21DA">
      <w:pPr>
        <w:pStyle w:val="FootnoteText"/>
      </w:pPr>
      <w:r>
        <w:footnoteRef/>
      </w:r>
      <w:r>
        <w:tab/>
        <w:t>Acest lucru este cu atât mai surprinzător, cu cât în UE se discută de peste 30 de ani despre necesitatea eliminării treptate a subvențiilor care dăunează mediului.</w:t>
      </w:r>
    </w:p>
  </w:footnote>
  <w:footnote w:id="4">
    <w:p w14:paraId="0AD2F20D" w14:textId="20ECBCC5" w:rsidR="00024C5A" w:rsidRPr="00C879CB" w:rsidRDefault="00024C5A" w:rsidP="00392EF1">
      <w:pPr>
        <w:pStyle w:val="FootnoteText"/>
      </w:pPr>
      <w:r>
        <w:rPr>
          <w:sz w:val="24"/>
          <w:szCs w:val="24"/>
          <w:vertAlign w:val="superscript"/>
        </w:rPr>
        <w:footnoteRef/>
      </w:r>
      <w:r>
        <w:tab/>
        <w:t>Și de Președinția germană a Consiliului.</w:t>
      </w:r>
    </w:p>
  </w:footnote>
  <w:footnote w:id="5">
    <w:p w14:paraId="599C8B67" w14:textId="46E239DB" w:rsidR="00024C5A" w:rsidRDefault="00024C5A" w:rsidP="00392EF1">
      <w:pPr>
        <w:pStyle w:val="FootnoteText"/>
      </w:pPr>
      <w:r>
        <w:rPr>
          <w:sz w:val="24"/>
          <w:szCs w:val="24"/>
          <w:vertAlign w:val="superscript"/>
        </w:rPr>
        <w:footnoteRef/>
      </w:r>
      <w:r>
        <w:t xml:space="preserve"> </w:t>
      </w:r>
      <w:r>
        <w:tab/>
      </w:r>
      <w:hyperlink r:id="rId3" w:history="1">
        <w:r>
          <w:rPr>
            <w:rStyle w:val="Hyperlink"/>
          </w:rPr>
          <w:t>JO C 47, 11.2.2020, p. 30</w:t>
        </w:r>
      </w:hyperlink>
      <w:r>
        <w:t xml:space="preserve">; </w:t>
      </w:r>
      <w:hyperlink r:id="rId4" w:history="1">
        <w:r>
          <w:rPr>
            <w:rStyle w:val="Hyperlink"/>
          </w:rPr>
          <w:t>JO C 62, 15.2.2019, p. 269</w:t>
        </w:r>
      </w:hyperlink>
      <w:r>
        <w:t>.</w:t>
      </w:r>
    </w:p>
  </w:footnote>
  <w:footnote w:id="6">
    <w:p w14:paraId="659CCE79" w14:textId="76C2E3F6" w:rsidR="00024C5A" w:rsidRDefault="00024C5A" w:rsidP="009604B4">
      <w:pPr>
        <w:pStyle w:val="FootnoteText"/>
        <w:keepLines w:val="0"/>
      </w:pPr>
      <w:r>
        <w:rPr>
          <w:sz w:val="24"/>
          <w:szCs w:val="24"/>
          <w:vertAlign w:val="superscript"/>
        </w:rPr>
        <w:footnoteRef/>
      </w:r>
      <w:r>
        <w:t xml:space="preserve"> </w:t>
      </w:r>
      <w:r>
        <w:tab/>
      </w:r>
      <w:hyperlink r:id="rId5" w:history="1">
        <w:r>
          <w:rPr>
            <w:rStyle w:val="Hyperlink"/>
          </w:rPr>
          <w:t>JO C 429, 11.12.2020, p. 85</w:t>
        </w:r>
      </w:hyperlink>
      <w:r>
        <w:t>.</w:t>
      </w:r>
    </w:p>
  </w:footnote>
  <w:footnote w:id="7">
    <w:p w14:paraId="2D5D8D92" w14:textId="6127B118" w:rsidR="00311BE2" w:rsidRDefault="00311BE2" w:rsidP="009604B4">
      <w:pPr>
        <w:pStyle w:val="FootnoteText"/>
        <w:keepLines w:val="0"/>
      </w:pPr>
      <w:r>
        <w:rPr>
          <w:sz w:val="24"/>
          <w:szCs w:val="24"/>
          <w:vertAlign w:val="superscript"/>
        </w:rPr>
        <w:footnoteRef/>
      </w:r>
      <w:r>
        <w:tab/>
      </w:r>
      <w:hyperlink r:id="rId6" w:history="1">
        <w:r>
          <w:rPr>
            <w:rStyle w:val="Hyperlink"/>
          </w:rPr>
          <w:t>COM(2015) 80 final, p. 13</w:t>
        </w:r>
      </w:hyperlink>
    </w:p>
  </w:footnote>
  <w:footnote w:id="8">
    <w:p w14:paraId="3E17A2AB" w14:textId="4AC1D091" w:rsidR="00024C5A" w:rsidRDefault="00024C5A" w:rsidP="009604B4">
      <w:pPr>
        <w:pStyle w:val="FootnoteText"/>
        <w:keepLines w:val="0"/>
      </w:pPr>
      <w:r>
        <w:rPr>
          <w:sz w:val="24"/>
          <w:szCs w:val="24"/>
          <w:vertAlign w:val="superscript"/>
        </w:rPr>
        <w:footnoteRef/>
      </w:r>
      <w:r>
        <w:t xml:space="preserve"> </w:t>
      </w:r>
      <w:r>
        <w:tab/>
      </w:r>
      <w:hyperlink r:id="rId7" w:history="1">
        <w:r>
          <w:rPr>
            <w:rStyle w:val="Hyperlink"/>
          </w:rPr>
          <w:t>JO C 429, 11.12.2020, p. 85</w:t>
        </w:r>
      </w:hyperlink>
      <w:r>
        <w:t>.</w:t>
      </w:r>
    </w:p>
  </w:footnote>
  <w:footnote w:id="9">
    <w:p w14:paraId="3F4602BC" w14:textId="086B2545" w:rsidR="00311BE2" w:rsidRDefault="00311BE2" w:rsidP="00311BE2">
      <w:pPr>
        <w:ind w:left="567" w:hanging="567"/>
      </w:pPr>
      <w:r>
        <w:rPr>
          <w:sz w:val="24"/>
          <w:szCs w:val="24"/>
          <w:vertAlign w:val="superscript"/>
        </w:rPr>
        <w:footnoteRef/>
      </w:r>
      <w:r>
        <w:tab/>
      </w:r>
      <w:r w:rsidRPr="00FF06C5">
        <w:rPr>
          <w:sz w:val="16"/>
          <w:szCs w:val="16"/>
        </w:rPr>
        <w:t xml:space="preserve">A se </w:t>
      </w:r>
      <w:proofErr w:type="spellStart"/>
      <w:r w:rsidRPr="00FF06C5">
        <w:rPr>
          <w:sz w:val="16"/>
          <w:szCs w:val="16"/>
        </w:rPr>
        <w:t>vedeaHirschl</w:t>
      </w:r>
      <w:proofErr w:type="spellEnd"/>
      <w:r w:rsidRPr="00FF06C5">
        <w:rPr>
          <w:sz w:val="16"/>
          <w:szCs w:val="16"/>
        </w:rPr>
        <w:t xml:space="preserve">, B., </w:t>
      </w:r>
      <w:proofErr w:type="spellStart"/>
      <w:r w:rsidRPr="00FF06C5">
        <w:rPr>
          <w:sz w:val="16"/>
          <w:szCs w:val="16"/>
        </w:rPr>
        <w:t>Aretz</w:t>
      </w:r>
      <w:proofErr w:type="spellEnd"/>
      <w:r w:rsidRPr="00FF06C5">
        <w:rPr>
          <w:sz w:val="16"/>
          <w:szCs w:val="16"/>
        </w:rPr>
        <w:t xml:space="preserve">, A., </w:t>
      </w:r>
      <w:proofErr w:type="spellStart"/>
      <w:r w:rsidRPr="00FF06C5">
        <w:rPr>
          <w:sz w:val="16"/>
          <w:szCs w:val="16"/>
        </w:rPr>
        <w:t>Bost</w:t>
      </w:r>
      <w:proofErr w:type="spellEnd"/>
      <w:r w:rsidRPr="00FF06C5">
        <w:rPr>
          <w:sz w:val="16"/>
          <w:szCs w:val="16"/>
        </w:rPr>
        <w:t xml:space="preserve">, M., Tapia, M., &amp; </w:t>
      </w:r>
      <w:proofErr w:type="spellStart"/>
      <w:r w:rsidRPr="00FF06C5">
        <w:rPr>
          <w:sz w:val="16"/>
          <w:szCs w:val="16"/>
        </w:rPr>
        <w:t>Gößling-Reisemann</w:t>
      </w:r>
      <w:proofErr w:type="spellEnd"/>
      <w:r w:rsidRPr="00FF06C5">
        <w:rPr>
          <w:sz w:val="16"/>
          <w:szCs w:val="16"/>
        </w:rPr>
        <w:t xml:space="preserve">, S. (2018): </w:t>
      </w:r>
      <w:proofErr w:type="spellStart"/>
      <w:r w:rsidRPr="00FF06C5">
        <w:rPr>
          <w:sz w:val="16"/>
          <w:szCs w:val="16"/>
        </w:rPr>
        <w:t>Vulnerabilität</w:t>
      </w:r>
      <w:proofErr w:type="spellEnd"/>
      <w:r w:rsidRPr="00FF06C5">
        <w:rPr>
          <w:sz w:val="16"/>
          <w:szCs w:val="16"/>
        </w:rPr>
        <w:t xml:space="preserve"> </w:t>
      </w:r>
      <w:proofErr w:type="spellStart"/>
      <w:r w:rsidRPr="00FF06C5">
        <w:rPr>
          <w:sz w:val="16"/>
          <w:szCs w:val="16"/>
        </w:rPr>
        <w:t>und</w:t>
      </w:r>
      <w:proofErr w:type="spellEnd"/>
      <w:r w:rsidRPr="00FF06C5">
        <w:rPr>
          <w:sz w:val="16"/>
          <w:szCs w:val="16"/>
        </w:rPr>
        <w:t xml:space="preserve"> </w:t>
      </w:r>
      <w:proofErr w:type="spellStart"/>
      <w:r w:rsidRPr="00FF06C5">
        <w:rPr>
          <w:sz w:val="16"/>
          <w:szCs w:val="16"/>
        </w:rPr>
        <w:t>Resilienz</w:t>
      </w:r>
      <w:proofErr w:type="spellEnd"/>
      <w:r w:rsidRPr="00FF06C5">
        <w:rPr>
          <w:sz w:val="16"/>
          <w:szCs w:val="16"/>
        </w:rPr>
        <w:t xml:space="preserve"> des </w:t>
      </w:r>
      <w:proofErr w:type="spellStart"/>
      <w:r w:rsidRPr="00FF06C5">
        <w:rPr>
          <w:sz w:val="16"/>
          <w:szCs w:val="16"/>
        </w:rPr>
        <w:t>digitalen</w:t>
      </w:r>
      <w:proofErr w:type="spellEnd"/>
      <w:r w:rsidRPr="00FF06C5">
        <w:rPr>
          <w:sz w:val="16"/>
          <w:szCs w:val="16"/>
        </w:rPr>
        <w:t xml:space="preserve"> </w:t>
      </w:r>
      <w:proofErr w:type="spellStart"/>
      <w:r w:rsidRPr="00FF06C5">
        <w:rPr>
          <w:sz w:val="16"/>
          <w:szCs w:val="16"/>
        </w:rPr>
        <w:t>Stromsystems</w:t>
      </w:r>
      <w:proofErr w:type="spellEnd"/>
      <w:r w:rsidRPr="00FF06C5">
        <w:rPr>
          <w:sz w:val="16"/>
          <w:szCs w:val="16"/>
        </w:rPr>
        <w:t xml:space="preserve"> (</w:t>
      </w:r>
      <w:r w:rsidRPr="00FF06C5">
        <w:rPr>
          <w:i/>
          <w:iCs/>
          <w:sz w:val="16"/>
          <w:szCs w:val="16"/>
        </w:rPr>
        <w:t>Vulnerabilitatea și reziliența sistemului energetic digital</w:t>
      </w:r>
      <w:r w:rsidRPr="00FF06C5">
        <w:rPr>
          <w:sz w:val="16"/>
          <w:szCs w:val="16"/>
        </w:rPr>
        <w:t>). Raport final. Berlin, Bremen, disponibil la adresa:</w:t>
      </w:r>
      <w:r>
        <w:t xml:space="preserve"> </w:t>
      </w:r>
      <w:hyperlink r:id="rId8" w:history="1">
        <w:r>
          <w:rPr>
            <w:rStyle w:val="Hyperlink"/>
            <w:sz w:val="16"/>
          </w:rPr>
          <w:t>www.strom-resilienz.de</w:t>
        </w:r>
      </w:hyperlink>
      <w:r>
        <w:t>.</w:t>
      </w:r>
    </w:p>
  </w:footnote>
  <w:footnote w:id="10">
    <w:p w14:paraId="37AA1ADA" w14:textId="339F95A3" w:rsidR="000B2261" w:rsidRDefault="000B2261" w:rsidP="000B2261">
      <w:pPr>
        <w:pStyle w:val="FootnoteText"/>
      </w:pPr>
      <w:r>
        <w:rPr>
          <w:sz w:val="24"/>
          <w:szCs w:val="24"/>
          <w:vertAlign w:val="superscript"/>
        </w:rPr>
        <w:footnoteRef/>
      </w:r>
      <w:r>
        <w:t xml:space="preserve"> </w:t>
      </w:r>
      <w:r>
        <w:tab/>
      </w:r>
      <w:hyperlink r:id="rId9" w:history="1">
        <w:r w:rsidR="00B439A3" w:rsidRPr="00B439A3">
          <w:rPr>
            <w:rStyle w:val="Hyperlink"/>
          </w:rPr>
          <w:t>JO C 123, 9.4.2021, p. 30</w:t>
        </w:r>
      </w:hyperlink>
      <w:r w:rsidR="00B439A3" w:rsidRPr="00B439A3">
        <w:t>.</w:t>
      </w:r>
    </w:p>
  </w:footnote>
  <w:footnote w:id="11">
    <w:p w14:paraId="13D4EF52" w14:textId="5E7DF739" w:rsidR="000B2261" w:rsidRDefault="000B2261" w:rsidP="000B2261">
      <w:pPr>
        <w:pStyle w:val="FootnoteText"/>
      </w:pPr>
      <w:r>
        <w:rPr>
          <w:sz w:val="24"/>
          <w:szCs w:val="24"/>
          <w:vertAlign w:val="superscript"/>
        </w:rPr>
        <w:footnoteRef/>
      </w:r>
      <w:r>
        <w:t xml:space="preserve"> </w:t>
      </w:r>
      <w:r>
        <w:tab/>
      </w:r>
      <w:hyperlink r:id="rId10" w:history="1">
        <w:r w:rsidR="00B439A3" w:rsidRPr="00B439A3">
          <w:rPr>
            <w:rStyle w:val="Hyperlink"/>
          </w:rPr>
          <w:t>JO C 123, 9.4.2021, p. 22</w:t>
        </w:r>
      </w:hyperlink>
      <w:bookmarkStart w:id="0" w:name="_GoBack"/>
      <w:bookmarkEnd w:id="0"/>
      <w:r>
        <w:t>.</w:t>
      </w:r>
    </w:p>
  </w:footnote>
  <w:footnote w:id="12">
    <w:p w14:paraId="491E1C95" w14:textId="1E933435" w:rsidR="00024C5A" w:rsidRDefault="00024C5A" w:rsidP="00685417">
      <w:pPr>
        <w:pStyle w:val="FootnoteText"/>
      </w:pPr>
      <w:r>
        <w:rPr>
          <w:sz w:val="24"/>
          <w:szCs w:val="24"/>
          <w:vertAlign w:val="superscript"/>
        </w:rPr>
        <w:footnoteRef/>
      </w:r>
      <w:r>
        <w:t xml:space="preserve"> </w:t>
      </w:r>
      <w:r>
        <w:tab/>
      </w:r>
      <w:hyperlink r:id="rId11" w:history="1">
        <w:r>
          <w:rPr>
            <w:rStyle w:val="Hyperlink"/>
          </w:rPr>
          <w:t>JO C 82, 3.3.2016, p. 13</w:t>
        </w:r>
      </w:hyperlink>
      <w:r>
        <w:t>.</w:t>
      </w:r>
    </w:p>
  </w:footnote>
  <w:footnote w:id="13">
    <w:p w14:paraId="288B3287" w14:textId="01145047" w:rsidR="00135E40" w:rsidRDefault="00135E40" w:rsidP="00135E40">
      <w:pPr>
        <w:pStyle w:val="FootnoteText"/>
      </w:pPr>
      <w:r>
        <w:rPr>
          <w:sz w:val="24"/>
          <w:szCs w:val="24"/>
          <w:vertAlign w:val="superscript"/>
        </w:rPr>
        <w:footnoteRef/>
      </w:r>
      <w:r>
        <w:t xml:space="preserve"> </w:t>
      </w:r>
      <w:r>
        <w:tab/>
      </w:r>
      <w:hyperlink r:id="rId12" w:history="1">
        <w:r>
          <w:rPr>
            <w:rStyle w:val="Hyperlink"/>
          </w:rPr>
          <w:t>JO C 364, 28.10.2020, p. 158</w:t>
        </w:r>
      </w:hyperlink>
      <w:r>
        <w:t>.</w:t>
      </w:r>
    </w:p>
  </w:footnote>
  <w:footnote w:id="14">
    <w:p w14:paraId="5632850A" w14:textId="03585AAF" w:rsidR="00024C5A" w:rsidRDefault="00024C5A" w:rsidP="00685417">
      <w:pPr>
        <w:pStyle w:val="FootnoteText"/>
      </w:pPr>
      <w:r>
        <w:rPr>
          <w:sz w:val="24"/>
          <w:szCs w:val="24"/>
          <w:vertAlign w:val="superscript"/>
        </w:rPr>
        <w:footnoteRef/>
      </w:r>
      <w:r>
        <w:t xml:space="preserve"> </w:t>
      </w:r>
      <w:r>
        <w:tab/>
      </w:r>
      <w:hyperlink r:id="rId13" w:history="1">
        <w:r>
          <w:rPr>
            <w:rStyle w:val="Hyperlink"/>
          </w:rPr>
          <w:t>JO C 288, 31.8.2017, p. 91</w:t>
        </w:r>
      </w:hyperlink>
      <w:r>
        <w:t>.</w:t>
      </w:r>
    </w:p>
  </w:footnote>
  <w:footnote w:id="15">
    <w:p w14:paraId="6B26B08A" w14:textId="6F9BA977" w:rsidR="00024C5A" w:rsidRDefault="00024C5A" w:rsidP="00685417">
      <w:pPr>
        <w:pStyle w:val="FootnoteText"/>
      </w:pPr>
      <w:r>
        <w:rPr>
          <w:sz w:val="24"/>
          <w:szCs w:val="24"/>
          <w:vertAlign w:val="superscript"/>
        </w:rPr>
        <w:footnoteRef/>
      </w:r>
      <w:r>
        <w:t xml:space="preserve"> </w:t>
      </w:r>
      <w:r>
        <w:tab/>
      </w:r>
      <w:hyperlink r:id="rId14" w:history="1">
        <w:r>
          <w:rPr>
            <w:rStyle w:val="Hyperlink"/>
          </w:rPr>
          <w:t>JO C 81, 2.3.2018, p. 44</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9BF8A" w14:textId="77777777" w:rsidR="00024C5A" w:rsidRPr="00BD2EB9" w:rsidRDefault="00024C5A" w:rsidP="00BD2E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ADC93" w14:textId="0D22001D" w:rsidR="00024C5A" w:rsidRPr="00BD2EB9" w:rsidRDefault="00024C5A" w:rsidP="00BD2E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D5EF5" w14:textId="77777777" w:rsidR="00024C5A" w:rsidRPr="00BD2EB9" w:rsidRDefault="00024C5A" w:rsidP="00BD2E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DB9204D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040A31F6"/>
    <w:multiLevelType w:val="hybridMultilevel"/>
    <w:tmpl w:val="2EFE12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C6780"/>
    <w:multiLevelType w:val="hybridMultilevel"/>
    <w:tmpl w:val="C526BE86"/>
    <w:lvl w:ilvl="0" w:tplc="5FB4F672">
      <w:start w:val="1"/>
      <w:numFmt w:val="bullet"/>
      <w:lvlRestart w:val="0"/>
      <w:lvlText w:val="-"/>
      <w:lvlJc w:val="left"/>
      <w:pPr>
        <w:tabs>
          <w:tab w:val="num" w:pos="0"/>
        </w:tabs>
        <w:ind w:left="283" w:hanging="283"/>
      </w:pPr>
      <w:rPr>
        <w:rFonts w:ascii="Symbol" w:hAnsi="Symbol"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6309EC"/>
    <w:multiLevelType w:val="hybridMultilevel"/>
    <w:tmpl w:val="AA249784"/>
    <w:lvl w:ilvl="0" w:tplc="BC524DE8">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 w15:restartNumberingAfterBreak="0">
    <w:nsid w:val="68C9478E"/>
    <w:multiLevelType w:val="hybridMultilevel"/>
    <w:tmpl w:val="C4B25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AD12A28"/>
    <w:multiLevelType w:val="hybridMultilevel"/>
    <w:tmpl w:val="E7E4A37C"/>
    <w:lvl w:ilvl="0" w:tplc="826E46E4">
      <w:numFmt w:val="bullet"/>
      <w:lvlText w:val="-"/>
      <w:lvlJc w:val="left"/>
      <w:pPr>
        <w:ind w:left="927" w:hanging="360"/>
      </w:pPr>
      <w:rPr>
        <w:rFonts w:ascii="Calibri" w:eastAsiaTheme="minorHAnsi" w:hAnsi="Calibri" w:cs="Calibri" w:hint="default"/>
      </w:rPr>
    </w:lvl>
    <w:lvl w:ilvl="1" w:tplc="0C070003" w:tentative="1">
      <w:start w:val="1"/>
      <w:numFmt w:val="bullet"/>
      <w:lvlText w:val="o"/>
      <w:lvlJc w:val="left"/>
      <w:pPr>
        <w:ind w:left="1647" w:hanging="360"/>
      </w:pPr>
      <w:rPr>
        <w:rFonts w:ascii="Courier New" w:hAnsi="Courier New" w:cs="Courier New" w:hint="default"/>
      </w:rPr>
    </w:lvl>
    <w:lvl w:ilvl="2" w:tplc="0C070005" w:tentative="1">
      <w:start w:val="1"/>
      <w:numFmt w:val="bullet"/>
      <w:lvlText w:val=""/>
      <w:lvlJc w:val="left"/>
      <w:pPr>
        <w:ind w:left="2367" w:hanging="360"/>
      </w:pPr>
      <w:rPr>
        <w:rFonts w:ascii="Wingdings" w:hAnsi="Wingdings" w:hint="default"/>
      </w:rPr>
    </w:lvl>
    <w:lvl w:ilvl="3" w:tplc="0C070001" w:tentative="1">
      <w:start w:val="1"/>
      <w:numFmt w:val="bullet"/>
      <w:lvlText w:val=""/>
      <w:lvlJc w:val="left"/>
      <w:pPr>
        <w:ind w:left="3087" w:hanging="360"/>
      </w:pPr>
      <w:rPr>
        <w:rFonts w:ascii="Symbol" w:hAnsi="Symbol" w:hint="default"/>
      </w:rPr>
    </w:lvl>
    <w:lvl w:ilvl="4" w:tplc="0C070003" w:tentative="1">
      <w:start w:val="1"/>
      <w:numFmt w:val="bullet"/>
      <w:lvlText w:val="o"/>
      <w:lvlJc w:val="left"/>
      <w:pPr>
        <w:ind w:left="3807" w:hanging="360"/>
      </w:pPr>
      <w:rPr>
        <w:rFonts w:ascii="Courier New" w:hAnsi="Courier New" w:cs="Courier New" w:hint="default"/>
      </w:rPr>
    </w:lvl>
    <w:lvl w:ilvl="5" w:tplc="0C070005" w:tentative="1">
      <w:start w:val="1"/>
      <w:numFmt w:val="bullet"/>
      <w:lvlText w:val=""/>
      <w:lvlJc w:val="left"/>
      <w:pPr>
        <w:ind w:left="4527" w:hanging="360"/>
      </w:pPr>
      <w:rPr>
        <w:rFonts w:ascii="Wingdings" w:hAnsi="Wingdings" w:hint="default"/>
      </w:rPr>
    </w:lvl>
    <w:lvl w:ilvl="6" w:tplc="0C070001" w:tentative="1">
      <w:start w:val="1"/>
      <w:numFmt w:val="bullet"/>
      <w:lvlText w:val=""/>
      <w:lvlJc w:val="left"/>
      <w:pPr>
        <w:ind w:left="5247" w:hanging="360"/>
      </w:pPr>
      <w:rPr>
        <w:rFonts w:ascii="Symbol" w:hAnsi="Symbol" w:hint="default"/>
      </w:rPr>
    </w:lvl>
    <w:lvl w:ilvl="7" w:tplc="0C070003" w:tentative="1">
      <w:start w:val="1"/>
      <w:numFmt w:val="bullet"/>
      <w:lvlText w:val="o"/>
      <w:lvlJc w:val="left"/>
      <w:pPr>
        <w:ind w:left="5967" w:hanging="360"/>
      </w:pPr>
      <w:rPr>
        <w:rFonts w:ascii="Courier New" w:hAnsi="Courier New" w:cs="Courier New" w:hint="default"/>
      </w:rPr>
    </w:lvl>
    <w:lvl w:ilvl="8" w:tplc="0C070005" w:tentative="1">
      <w:start w:val="1"/>
      <w:numFmt w:val="bullet"/>
      <w:lvlText w:val=""/>
      <w:lvlJc w:val="left"/>
      <w:pPr>
        <w:ind w:left="6687" w:hanging="360"/>
      </w:pPr>
      <w:rPr>
        <w:rFonts w:ascii="Wingdings" w:hAnsi="Wingdings" w:hint="default"/>
      </w:rPr>
    </w:lvl>
  </w:abstractNum>
  <w:abstractNum w:abstractNumId="6" w15:restartNumberingAfterBreak="0">
    <w:nsid w:val="71F74F6E"/>
    <w:multiLevelType w:val="hybridMultilevel"/>
    <w:tmpl w:val="E78CA492"/>
    <w:lvl w:ilvl="0" w:tplc="0409000F">
      <w:start w:val="1"/>
      <w:numFmt w:val="decimal"/>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79297113"/>
    <w:multiLevelType w:val="hybridMultilevel"/>
    <w:tmpl w:val="B308E75A"/>
    <w:lvl w:ilvl="0" w:tplc="0409000F">
      <w:start w:val="1"/>
      <w:numFmt w:val="decimal"/>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7E8162D4"/>
    <w:multiLevelType w:val="hybridMultilevel"/>
    <w:tmpl w:val="57001F5E"/>
    <w:lvl w:ilvl="0" w:tplc="BC524DE8">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num>
  <w:num w:numId="4">
    <w:abstractNumId w:val="1"/>
  </w:num>
  <w:num w:numId="5">
    <w:abstractNumId w:val="4"/>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8"/>
  </w:num>
  <w:num w:numId="43">
    <w:abstractNumId w:val="3"/>
  </w:num>
  <w:num w:numId="44">
    <w:abstractNumId w:val="5"/>
  </w:num>
  <w:num w:numId="4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ctiveWritingStyle w:lang="de-DE" w:vendorID="64" w:dllVersion="131078" w:nlCheck="1" w:checkStyle="0" w:appName="MSWord"/>
  <w:activeWritingStyle w:lang="nl-BE" w:vendorID="64" w:dllVersion="131078" w:nlCheck="1" w:checkStyle="0" w:appName="MSWord"/>
  <w:activeWritingStyle w:lang="en-US" w:vendorID="64" w:dllVersion="131078" w:nlCheck="1" w:checkStyle="0" w:appName="MSWord"/>
  <w:activeWritingStyle w:lang="en-GB" w:vendorID="64" w:dllVersion="131078" w:nlCheck="1" w:checkStyle="0" w:appName="MSWord"/>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00A2"/>
    <w:rsid w:val="00005AB9"/>
    <w:rsid w:val="00005EB9"/>
    <w:rsid w:val="00006E24"/>
    <w:rsid w:val="00007A40"/>
    <w:rsid w:val="00011D33"/>
    <w:rsid w:val="00013EA3"/>
    <w:rsid w:val="00020E6E"/>
    <w:rsid w:val="00024C5A"/>
    <w:rsid w:val="00031A4B"/>
    <w:rsid w:val="00033913"/>
    <w:rsid w:val="00033E5B"/>
    <w:rsid w:val="0003436F"/>
    <w:rsid w:val="000357A8"/>
    <w:rsid w:val="000420B3"/>
    <w:rsid w:val="000430A6"/>
    <w:rsid w:val="00044923"/>
    <w:rsid w:val="0005249C"/>
    <w:rsid w:val="000534A5"/>
    <w:rsid w:val="0005680D"/>
    <w:rsid w:val="00063FB4"/>
    <w:rsid w:val="00064D59"/>
    <w:rsid w:val="0006505E"/>
    <w:rsid w:val="0006510E"/>
    <w:rsid w:val="0006793E"/>
    <w:rsid w:val="00070F4A"/>
    <w:rsid w:val="00072E0F"/>
    <w:rsid w:val="000735E5"/>
    <w:rsid w:val="0007392F"/>
    <w:rsid w:val="00076AC1"/>
    <w:rsid w:val="00087B39"/>
    <w:rsid w:val="00093F6C"/>
    <w:rsid w:val="00094AF7"/>
    <w:rsid w:val="00094D9E"/>
    <w:rsid w:val="00096502"/>
    <w:rsid w:val="000A49BB"/>
    <w:rsid w:val="000B2261"/>
    <w:rsid w:val="000B65A9"/>
    <w:rsid w:val="000C3441"/>
    <w:rsid w:val="000C7F53"/>
    <w:rsid w:val="000D2F8E"/>
    <w:rsid w:val="000D6859"/>
    <w:rsid w:val="000F196B"/>
    <w:rsid w:val="000F70D7"/>
    <w:rsid w:val="00105361"/>
    <w:rsid w:val="0010652B"/>
    <w:rsid w:val="001101F8"/>
    <w:rsid w:val="0011206F"/>
    <w:rsid w:val="00114999"/>
    <w:rsid w:val="0011656A"/>
    <w:rsid w:val="0012220C"/>
    <w:rsid w:val="0012307A"/>
    <w:rsid w:val="001240EC"/>
    <w:rsid w:val="0013584D"/>
    <w:rsid w:val="00135E40"/>
    <w:rsid w:val="00136EA3"/>
    <w:rsid w:val="00137575"/>
    <w:rsid w:val="00142E27"/>
    <w:rsid w:val="00144231"/>
    <w:rsid w:val="00150434"/>
    <w:rsid w:val="0015445A"/>
    <w:rsid w:val="00155721"/>
    <w:rsid w:val="00155D1F"/>
    <w:rsid w:val="00161018"/>
    <w:rsid w:val="0016503F"/>
    <w:rsid w:val="0016674F"/>
    <w:rsid w:val="00167CA0"/>
    <w:rsid w:val="001705B0"/>
    <w:rsid w:val="0017120D"/>
    <w:rsid w:val="001714F6"/>
    <w:rsid w:val="00176168"/>
    <w:rsid w:val="00177158"/>
    <w:rsid w:val="001808A5"/>
    <w:rsid w:val="00184FD4"/>
    <w:rsid w:val="00186B04"/>
    <w:rsid w:val="00186F1E"/>
    <w:rsid w:val="00190836"/>
    <w:rsid w:val="0019159C"/>
    <w:rsid w:val="00193930"/>
    <w:rsid w:val="00194028"/>
    <w:rsid w:val="001963A5"/>
    <w:rsid w:val="00196F1E"/>
    <w:rsid w:val="00197FCA"/>
    <w:rsid w:val="001A27DB"/>
    <w:rsid w:val="001A6852"/>
    <w:rsid w:val="001B286A"/>
    <w:rsid w:val="001B2D02"/>
    <w:rsid w:val="001B3647"/>
    <w:rsid w:val="001B77FA"/>
    <w:rsid w:val="001C0ABE"/>
    <w:rsid w:val="001C0FE1"/>
    <w:rsid w:val="001C3F88"/>
    <w:rsid w:val="001C5852"/>
    <w:rsid w:val="001D0E7C"/>
    <w:rsid w:val="001D2D4C"/>
    <w:rsid w:val="001D45F0"/>
    <w:rsid w:val="001D4E7B"/>
    <w:rsid w:val="001D5F18"/>
    <w:rsid w:val="001E4A33"/>
    <w:rsid w:val="001E5C27"/>
    <w:rsid w:val="001F602B"/>
    <w:rsid w:val="001F6AC8"/>
    <w:rsid w:val="002037D5"/>
    <w:rsid w:val="00206F90"/>
    <w:rsid w:val="00212B03"/>
    <w:rsid w:val="002131AE"/>
    <w:rsid w:val="00215C10"/>
    <w:rsid w:val="00215C2D"/>
    <w:rsid w:val="002252C4"/>
    <w:rsid w:val="0023183E"/>
    <w:rsid w:val="00231CA1"/>
    <w:rsid w:val="00235138"/>
    <w:rsid w:val="00236A0E"/>
    <w:rsid w:val="00243E36"/>
    <w:rsid w:val="0024540B"/>
    <w:rsid w:val="00245EF4"/>
    <w:rsid w:val="00246093"/>
    <w:rsid w:val="00250E11"/>
    <w:rsid w:val="00251383"/>
    <w:rsid w:val="002522C9"/>
    <w:rsid w:val="00252A21"/>
    <w:rsid w:val="00253E4F"/>
    <w:rsid w:val="002542E4"/>
    <w:rsid w:val="00261053"/>
    <w:rsid w:val="00262FDE"/>
    <w:rsid w:val="00263629"/>
    <w:rsid w:val="00267FEF"/>
    <w:rsid w:val="002706C8"/>
    <w:rsid w:val="002769BD"/>
    <w:rsid w:val="00276A75"/>
    <w:rsid w:val="002809EA"/>
    <w:rsid w:val="0028441C"/>
    <w:rsid w:val="00284962"/>
    <w:rsid w:val="00286F62"/>
    <w:rsid w:val="00287B0E"/>
    <w:rsid w:val="002A0B53"/>
    <w:rsid w:val="002A0EEF"/>
    <w:rsid w:val="002A4A34"/>
    <w:rsid w:val="002B2DF7"/>
    <w:rsid w:val="002C0595"/>
    <w:rsid w:val="002C3BF4"/>
    <w:rsid w:val="002C3CFE"/>
    <w:rsid w:val="002C749F"/>
    <w:rsid w:val="002D0068"/>
    <w:rsid w:val="002D1723"/>
    <w:rsid w:val="002D3923"/>
    <w:rsid w:val="002E0A4C"/>
    <w:rsid w:val="002E14C1"/>
    <w:rsid w:val="002E7B33"/>
    <w:rsid w:val="002F059B"/>
    <w:rsid w:val="002F5B0B"/>
    <w:rsid w:val="00300924"/>
    <w:rsid w:val="00300FB5"/>
    <w:rsid w:val="00301D8C"/>
    <w:rsid w:val="0030596E"/>
    <w:rsid w:val="003073C3"/>
    <w:rsid w:val="00311BE2"/>
    <w:rsid w:val="00313E47"/>
    <w:rsid w:val="00323637"/>
    <w:rsid w:val="00324E8A"/>
    <w:rsid w:val="00326171"/>
    <w:rsid w:val="00330390"/>
    <w:rsid w:val="00330F04"/>
    <w:rsid w:val="00331D87"/>
    <w:rsid w:val="00332850"/>
    <w:rsid w:val="00334478"/>
    <w:rsid w:val="003346B4"/>
    <w:rsid w:val="00334AE6"/>
    <w:rsid w:val="003365D0"/>
    <w:rsid w:val="003439AB"/>
    <w:rsid w:val="00345823"/>
    <w:rsid w:val="0035034C"/>
    <w:rsid w:val="00350A46"/>
    <w:rsid w:val="00354695"/>
    <w:rsid w:val="0035549B"/>
    <w:rsid w:val="003663E8"/>
    <w:rsid w:val="003755C8"/>
    <w:rsid w:val="00375687"/>
    <w:rsid w:val="00380AE0"/>
    <w:rsid w:val="00383324"/>
    <w:rsid w:val="00384DFA"/>
    <w:rsid w:val="00387A75"/>
    <w:rsid w:val="003904FD"/>
    <w:rsid w:val="00392EF1"/>
    <w:rsid w:val="00394254"/>
    <w:rsid w:val="00395D5B"/>
    <w:rsid w:val="003A7EB1"/>
    <w:rsid w:val="003B0BE5"/>
    <w:rsid w:val="003C2BFB"/>
    <w:rsid w:val="003C436B"/>
    <w:rsid w:val="003C5337"/>
    <w:rsid w:val="003C5F92"/>
    <w:rsid w:val="003D06C4"/>
    <w:rsid w:val="003D7A8C"/>
    <w:rsid w:val="003D7C00"/>
    <w:rsid w:val="003E56E5"/>
    <w:rsid w:val="003E7E60"/>
    <w:rsid w:val="003F00D4"/>
    <w:rsid w:val="003F2209"/>
    <w:rsid w:val="003F3D39"/>
    <w:rsid w:val="003F4FC2"/>
    <w:rsid w:val="003F646A"/>
    <w:rsid w:val="003F6761"/>
    <w:rsid w:val="003F6A0A"/>
    <w:rsid w:val="004024F5"/>
    <w:rsid w:val="00402DE1"/>
    <w:rsid w:val="00403D8B"/>
    <w:rsid w:val="004058F1"/>
    <w:rsid w:val="00407E7D"/>
    <w:rsid w:val="004121E0"/>
    <w:rsid w:val="0041283D"/>
    <w:rsid w:val="00413AB4"/>
    <w:rsid w:val="004152DC"/>
    <w:rsid w:val="00421373"/>
    <w:rsid w:val="00421FB7"/>
    <w:rsid w:val="00426A10"/>
    <w:rsid w:val="0042763B"/>
    <w:rsid w:val="0043024C"/>
    <w:rsid w:val="00436706"/>
    <w:rsid w:val="00442107"/>
    <w:rsid w:val="00443D38"/>
    <w:rsid w:val="004466D5"/>
    <w:rsid w:val="00450E7A"/>
    <w:rsid w:val="00456AF8"/>
    <w:rsid w:val="004626B9"/>
    <w:rsid w:val="00470B15"/>
    <w:rsid w:val="0047117A"/>
    <w:rsid w:val="00471CDD"/>
    <w:rsid w:val="00475869"/>
    <w:rsid w:val="00475A77"/>
    <w:rsid w:val="00482A20"/>
    <w:rsid w:val="00484504"/>
    <w:rsid w:val="004866A9"/>
    <w:rsid w:val="004905FA"/>
    <w:rsid w:val="00492774"/>
    <w:rsid w:val="00496D7A"/>
    <w:rsid w:val="004A31BC"/>
    <w:rsid w:val="004A3F1A"/>
    <w:rsid w:val="004A3F45"/>
    <w:rsid w:val="004A4D76"/>
    <w:rsid w:val="004B1AFA"/>
    <w:rsid w:val="004B7088"/>
    <w:rsid w:val="004B717F"/>
    <w:rsid w:val="004C4D12"/>
    <w:rsid w:val="004C5B76"/>
    <w:rsid w:val="004D02CD"/>
    <w:rsid w:val="004D0B24"/>
    <w:rsid w:val="004D4B90"/>
    <w:rsid w:val="004D6B95"/>
    <w:rsid w:val="004D7F41"/>
    <w:rsid w:val="004E03A2"/>
    <w:rsid w:val="004E317E"/>
    <w:rsid w:val="004E3954"/>
    <w:rsid w:val="004E5856"/>
    <w:rsid w:val="004E5F2E"/>
    <w:rsid w:val="004E60D8"/>
    <w:rsid w:val="004F2330"/>
    <w:rsid w:val="004F53C6"/>
    <w:rsid w:val="004F55C6"/>
    <w:rsid w:val="004F69DB"/>
    <w:rsid w:val="004F6B87"/>
    <w:rsid w:val="004F7139"/>
    <w:rsid w:val="004F7744"/>
    <w:rsid w:val="00500770"/>
    <w:rsid w:val="00501C2D"/>
    <w:rsid w:val="00502637"/>
    <w:rsid w:val="0050397D"/>
    <w:rsid w:val="0050749D"/>
    <w:rsid w:val="00510A23"/>
    <w:rsid w:val="00511140"/>
    <w:rsid w:val="00513CFE"/>
    <w:rsid w:val="005236FA"/>
    <w:rsid w:val="00523B6A"/>
    <w:rsid w:val="00525F6C"/>
    <w:rsid w:val="005324D0"/>
    <w:rsid w:val="00544B6B"/>
    <w:rsid w:val="00544E97"/>
    <w:rsid w:val="00546AB4"/>
    <w:rsid w:val="00547FEA"/>
    <w:rsid w:val="00550F59"/>
    <w:rsid w:val="005514E5"/>
    <w:rsid w:val="00563C84"/>
    <w:rsid w:val="005762F6"/>
    <w:rsid w:val="00584FBE"/>
    <w:rsid w:val="00585483"/>
    <w:rsid w:val="00587378"/>
    <w:rsid w:val="00587C05"/>
    <w:rsid w:val="00590AAB"/>
    <w:rsid w:val="005938C3"/>
    <w:rsid w:val="0059468C"/>
    <w:rsid w:val="00595125"/>
    <w:rsid w:val="00596F21"/>
    <w:rsid w:val="005A7101"/>
    <w:rsid w:val="005B1CDD"/>
    <w:rsid w:val="005B1E19"/>
    <w:rsid w:val="005B3844"/>
    <w:rsid w:val="005B55FC"/>
    <w:rsid w:val="005C2D5E"/>
    <w:rsid w:val="005C3B81"/>
    <w:rsid w:val="005C650C"/>
    <w:rsid w:val="005D086C"/>
    <w:rsid w:val="005D11D3"/>
    <w:rsid w:val="005D4E1F"/>
    <w:rsid w:val="005D4FB3"/>
    <w:rsid w:val="005E2164"/>
    <w:rsid w:val="005E2F07"/>
    <w:rsid w:val="005E2FEA"/>
    <w:rsid w:val="005E6247"/>
    <w:rsid w:val="005F314B"/>
    <w:rsid w:val="00602683"/>
    <w:rsid w:val="006066BE"/>
    <w:rsid w:val="00611AF2"/>
    <w:rsid w:val="0061212B"/>
    <w:rsid w:val="006127AF"/>
    <w:rsid w:val="00613A98"/>
    <w:rsid w:val="00613AD7"/>
    <w:rsid w:val="00613C6C"/>
    <w:rsid w:val="00615FB2"/>
    <w:rsid w:val="00617BD1"/>
    <w:rsid w:val="00617CE8"/>
    <w:rsid w:val="006278A0"/>
    <w:rsid w:val="0063095F"/>
    <w:rsid w:val="00631CBD"/>
    <w:rsid w:val="006349A4"/>
    <w:rsid w:val="0063704F"/>
    <w:rsid w:val="00643DC7"/>
    <w:rsid w:val="00646AC2"/>
    <w:rsid w:val="00646DA7"/>
    <w:rsid w:val="00650390"/>
    <w:rsid w:val="00654DAB"/>
    <w:rsid w:val="0066204A"/>
    <w:rsid w:val="00670E3C"/>
    <w:rsid w:val="00677F57"/>
    <w:rsid w:val="00681088"/>
    <w:rsid w:val="00685417"/>
    <w:rsid w:val="00685B3C"/>
    <w:rsid w:val="00692448"/>
    <w:rsid w:val="0069577E"/>
    <w:rsid w:val="0069634B"/>
    <w:rsid w:val="00696623"/>
    <w:rsid w:val="006A04E9"/>
    <w:rsid w:val="006A16D7"/>
    <w:rsid w:val="006A4A03"/>
    <w:rsid w:val="006A7543"/>
    <w:rsid w:val="006B5CDB"/>
    <w:rsid w:val="006B725C"/>
    <w:rsid w:val="006C273D"/>
    <w:rsid w:val="006C5321"/>
    <w:rsid w:val="006C5C4F"/>
    <w:rsid w:val="006C6282"/>
    <w:rsid w:val="006C762A"/>
    <w:rsid w:val="006D5FF9"/>
    <w:rsid w:val="006D7469"/>
    <w:rsid w:val="006D7C49"/>
    <w:rsid w:val="006E0772"/>
    <w:rsid w:val="006E0F86"/>
    <w:rsid w:val="006E58D0"/>
    <w:rsid w:val="006F0B15"/>
    <w:rsid w:val="006F0DCC"/>
    <w:rsid w:val="006F314E"/>
    <w:rsid w:val="00703DF9"/>
    <w:rsid w:val="00703F75"/>
    <w:rsid w:val="007048EB"/>
    <w:rsid w:val="00704FBB"/>
    <w:rsid w:val="0070726A"/>
    <w:rsid w:val="0071226B"/>
    <w:rsid w:val="00712BE6"/>
    <w:rsid w:val="0071530C"/>
    <w:rsid w:val="007166C6"/>
    <w:rsid w:val="00717040"/>
    <w:rsid w:val="00721668"/>
    <w:rsid w:val="00734BAF"/>
    <w:rsid w:val="0073618D"/>
    <w:rsid w:val="00740559"/>
    <w:rsid w:val="0075650E"/>
    <w:rsid w:val="00761996"/>
    <w:rsid w:val="007622A7"/>
    <w:rsid w:val="007627F3"/>
    <w:rsid w:val="007750A2"/>
    <w:rsid w:val="007817D6"/>
    <w:rsid w:val="00781E1C"/>
    <w:rsid w:val="00786E7C"/>
    <w:rsid w:val="00787912"/>
    <w:rsid w:val="0079177A"/>
    <w:rsid w:val="00794836"/>
    <w:rsid w:val="007948D5"/>
    <w:rsid w:val="007A15C9"/>
    <w:rsid w:val="007A245B"/>
    <w:rsid w:val="007A6676"/>
    <w:rsid w:val="007B4C0A"/>
    <w:rsid w:val="007B6368"/>
    <w:rsid w:val="007B7FF5"/>
    <w:rsid w:val="007C3FC6"/>
    <w:rsid w:val="007D2CE9"/>
    <w:rsid w:val="007D4FED"/>
    <w:rsid w:val="007D69DA"/>
    <w:rsid w:val="007D70B1"/>
    <w:rsid w:val="007D7140"/>
    <w:rsid w:val="007E1CDB"/>
    <w:rsid w:val="007E408C"/>
    <w:rsid w:val="007E7E21"/>
    <w:rsid w:val="007F0460"/>
    <w:rsid w:val="007F0DA2"/>
    <w:rsid w:val="007F3990"/>
    <w:rsid w:val="007F39CE"/>
    <w:rsid w:val="007F5E0D"/>
    <w:rsid w:val="007F6BCC"/>
    <w:rsid w:val="00800285"/>
    <w:rsid w:val="00801085"/>
    <w:rsid w:val="00801A89"/>
    <w:rsid w:val="00802F91"/>
    <w:rsid w:val="00805B20"/>
    <w:rsid w:val="00810C47"/>
    <w:rsid w:val="00812138"/>
    <w:rsid w:val="008151F2"/>
    <w:rsid w:val="0081777A"/>
    <w:rsid w:val="008210E0"/>
    <w:rsid w:val="00824079"/>
    <w:rsid w:val="00831355"/>
    <w:rsid w:val="00831F0A"/>
    <w:rsid w:val="00832396"/>
    <w:rsid w:val="00833A78"/>
    <w:rsid w:val="00845422"/>
    <w:rsid w:val="0084585F"/>
    <w:rsid w:val="00851062"/>
    <w:rsid w:val="00853E53"/>
    <w:rsid w:val="00853F14"/>
    <w:rsid w:val="0085535C"/>
    <w:rsid w:val="00864D76"/>
    <w:rsid w:val="008656C9"/>
    <w:rsid w:val="008656E6"/>
    <w:rsid w:val="0086711C"/>
    <w:rsid w:val="00867535"/>
    <w:rsid w:val="00872D20"/>
    <w:rsid w:val="00873606"/>
    <w:rsid w:val="0087511F"/>
    <w:rsid w:val="00875C5B"/>
    <w:rsid w:val="00883C5F"/>
    <w:rsid w:val="00891C7D"/>
    <w:rsid w:val="00892FA7"/>
    <w:rsid w:val="00896899"/>
    <w:rsid w:val="008A3301"/>
    <w:rsid w:val="008A4DF1"/>
    <w:rsid w:val="008A5636"/>
    <w:rsid w:val="008A5FF3"/>
    <w:rsid w:val="008B125E"/>
    <w:rsid w:val="008B241C"/>
    <w:rsid w:val="008B408B"/>
    <w:rsid w:val="008B4F11"/>
    <w:rsid w:val="008B5D1F"/>
    <w:rsid w:val="008C2362"/>
    <w:rsid w:val="008C238A"/>
    <w:rsid w:val="008C3049"/>
    <w:rsid w:val="008D2E9E"/>
    <w:rsid w:val="008D4AE9"/>
    <w:rsid w:val="008D5CF3"/>
    <w:rsid w:val="008D7D39"/>
    <w:rsid w:val="008E4574"/>
    <w:rsid w:val="008E7072"/>
    <w:rsid w:val="008F1493"/>
    <w:rsid w:val="008F4016"/>
    <w:rsid w:val="008F42FE"/>
    <w:rsid w:val="008F4A00"/>
    <w:rsid w:val="008F5402"/>
    <w:rsid w:val="0090053A"/>
    <w:rsid w:val="00901C2A"/>
    <w:rsid w:val="009073C0"/>
    <w:rsid w:val="009118C7"/>
    <w:rsid w:val="009225B6"/>
    <w:rsid w:val="0092428C"/>
    <w:rsid w:val="0092523D"/>
    <w:rsid w:val="00925397"/>
    <w:rsid w:val="00933A21"/>
    <w:rsid w:val="00934C10"/>
    <w:rsid w:val="0093662A"/>
    <w:rsid w:val="0094060C"/>
    <w:rsid w:val="00942C4B"/>
    <w:rsid w:val="00944196"/>
    <w:rsid w:val="00945F12"/>
    <w:rsid w:val="009508B0"/>
    <w:rsid w:val="009604B4"/>
    <w:rsid w:val="009606A5"/>
    <w:rsid w:val="00962F1F"/>
    <w:rsid w:val="00965304"/>
    <w:rsid w:val="00966ACE"/>
    <w:rsid w:val="00971293"/>
    <w:rsid w:val="009739A0"/>
    <w:rsid w:val="00973A3B"/>
    <w:rsid w:val="00983EAE"/>
    <w:rsid w:val="0098760B"/>
    <w:rsid w:val="00987A80"/>
    <w:rsid w:val="00993BA0"/>
    <w:rsid w:val="009A11DD"/>
    <w:rsid w:val="009A592D"/>
    <w:rsid w:val="009B1224"/>
    <w:rsid w:val="009B30AA"/>
    <w:rsid w:val="009B5217"/>
    <w:rsid w:val="009C48DE"/>
    <w:rsid w:val="009D26D6"/>
    <w:rsid w:val="009D4420"/>
    <w:rsid w:val="009D60D9"/>
    <w:rsid w:val="009E1E1E"/>
    <w:rsid w:val="009E33E3"/>
    <w:rsid w:val="009E560B"/>
    <w:rsid w:val="009E7F16"/>
    <w:rsid w:val="009F3CF7"/>
    <w:rsid w:val="009F5052"/>
    <w:rsid w:val="009F682E"/>
    <w:rsid w:val="00A03083"/>
    <w:rsid w:val="00A03F22"/>
    <w:rsid w:val="00A04C85"/>
    <w:rsid w:val="00A100F0"/>
    <w:rsid w:val="00A156E6"/>
    <w:rsid w:val="00A177C5"/>
    <w:rsid w:val="00A239F3"/>
    <w:rsid w:val="00A26AA3"/>
    <w:rsid w:val="00A27D86"/>
    <w:rsid w:val="00A30A3D"/>
    <w:rsid w:val="00A31A0D"/>
    <w:rsid w:val="00A33151"/>
    <w:rsid w:val="00A35C06"/>
    <w:rsid w:val="00A36970"/>
    <w:rsid w:val="00A41EB4"/>
    <w:rsid w:val="00A44BFF"/>
    <w:rsid w:val="00A501E3"/>
    <w:rsid w:val="00A50F0C"/>
    <w:rsid w:val="00A521AF"/>
    <w:rsid w:val="00A54FBD"/>
    <w:rsid w:val="00A56429"/>
    <w:rsid w:val="00A56441"/>
    <w:rsid w:val="00A65A9E"/>
    <w:rsid w:val="00A67921"/>
    <w:rsid w:val="00A736DD"/>
    <w:rsid w:val="00A82869"/>
    <w:rsid w:val="00A82C78"/>
    <w:rsid w:val="00A83D6B"/>
    <w:rsid w:val="00A8758C"/>
    <w:rsid w:val="00A92334"/>
    <w:rsid w:val="00AA127E"/>
    <w:rsid w:val="00AA19AE"/>
    <w:rsid w:val="00AA423D"/>
    <w:rsid w:val="00AA6A95"/>
    <w:rsid w:val="00AB10DE"/>
    <w:rsid w:val="00AB20D9"/>
    <w:rsid w:val="00AB3327"/>
    <w:rsid w:val="00AB3668"/>
    <w:rsid w:val="00AB5ED7"/>
    <w:rsid w:val="00AB69ED"/>
    <w:rsid w:val="00AB6E1C"/>
    <w:rsid w:val="00AC0B4C"/>
    <w:rsid w:val="00AC2342"/>
    <w:rsid w:val="00AC2BED"/>
    <w:rsid w:val="00AD0AEE"/>
    <w:rsid w:val="00AD49E3"/>
    <w:rsid w:val="00AD4B4F"/>
    <w:rsid w:val="00AE3507"/>
    <w:rsid w:val="00AF0616"/>
    <w:rsid w:val="00AF0785"/>
    <w:rsid w:val="00AF0E28"/>
    <w:rsid w:val="00AF4764"/>
    <w:rsid w:val="00AF6F9B"/>
    <w:rsid w:val="00B01409"/>
    <w:rsid w:val="00B022D4"/>
    <w:rsid w:val="00B10DBD"/>
    <w:rsid w:val="00B12156"/>
    <w:rsid w:val="00B13A4C"/>
    <w:rsid w:val="00B1534D"/>
    <w:rsid w:val="00B15629"/>
    <w:rsid w:val="00B2372C"/>
    <w:rsid w:val="00B30C8C"/>
    <w:rsid w:val="00B32F70"/>
    <w:rsid w:val="00B373D0"/>
    <w:rsid w:val="00B439A3"/>
    <w:rsid w:val="00B43A1F"/>
    <w:rsid w:val="00B43AAA"/>
    <w:rsid w:val="00B46B5B"/>
    <w:rsid w:val="00B53139"/>
    <w:rsid w:val="00B53A04"/>
    <w:rsid w:val="00B562CE"/>
    <w:rsid w:val="00B61C9D"/>
    <w:rsid w:val="00B62DE2"/>
    <w:rsid w:val="00B66916"/>
    <w:rsid w:val="00B74417"/>
    <w:rsid w:val="00B77246"/>
    <w:rsid w:val="00B866CD"/>
    <w:rsid w:val="00B869AA"/>
    <w:rsid w:val="00B93034"/>
    <w:rsid w:val="00B97C5D"/>
    <w:rsid w:val="00B97D77"/>
    <w:rsid w:val="00BA1290"/>
    <w:rsid w:val="00BB2792"/>
    <w:rsid w:val="00BB359B"/>
    <w:rsid w:val="00BB76BF"/>
    <w:rsid w:val="00BC1AD1"/>
    <w:rsid w:val="00BC3F01"/>
    <w:rsid w:val="00BC4A58"/>
    <w:rsid w:val="00BC613B"/>
    <w:rsid w:val="00BD2EB9"/>
    <w:rsid w:val="00BD51D9"/>
    <w:rsid w:val="00BD64E2"/>
    <w:rsid w:val="00BE39CD"/>
    <w:rsid w:val="00BE4995"/>
    <w:rsid w:val="00BF0F0F"/>
    <w:rsid w:val="00BF429A"/>
    <w:rsid w:val="00BF62BE"/>
    <w:rsid w:val="00C01C43"/>
    <w:rsid w:val="00C07126"/>
    <w:rsid w:val="00C146D8"/>
    <w:rsid w:val="00C158A2"/>
    <w:rsid w:val="00C16853"/>
    <w:rsid w:val="00C263F0"/>
    <w:rsid w:val="00C31D7C"/>
    <w:rsid w:val="00C33D41"/>
    <w:rsid w:val="00C33E89"/>
    <w:rsid w:val="00C40AFD"/>
    <w:rsid w:val="00C41E20"/>
    <w:rsid w:val="00C42E3E"/>
    <w:rsid w:val="00C51C13"/>
    <w:rsid w:val="00C525A5"/>
    <w:rsid w:val="00C5300F"/>
    <w:rsid w:val="00C54594"/>
    <w:rsid w:val="00C66CE0"/>
    <w:rsid w:val="00C71BED"/>
    <w:rsid w:val="00C720EE"/>
    <w:rsid w:val="00C737B2"/>
    <w:rsid w:val="00C73BEB"/>
    <w:rsid w:val="00C81B53"/>
    <w:rsid w:val="00C81D9B"/>
    <w:rsid w:val="00C82AD2"/>
    <w:rsid w:val="00C84822"/>
    <w:rsid w:val="00C879CB"/>
    <w:rsid w:val="00C90FB6"/>
    <w:rsid w:val="00C9220E"/>
    <w:rsid w:val="00C932BD"/>
    <w:rsid w:val="00C93429"/>
    <w:rsid w:val="00C93A3F"/>
    <w:rsid w:val="00CA02B7"/>
    <w:rsid w:val="00CA11FD"/>
    <w:rsid w:val="00CA16C5"/>
    <w:rsid w:val="00CA415A"/>
    <w:rsid w:val="00CA4297"/>
    <w:rsid w:val="00CA5052"/>
    <w:rsid w:val="00CA7A35"/>
    <w:rsid w:val="00CB043E"/>
    <w:rsid w:val="00CB0BA4"/>
    <w:rsid w:val="00CB1536"/>
    <w:rsid w:val="00CB1A27"/>
    <w:rsid w:val="00CB2275"/>
    <w:rsid w:val="00CB7FB8"/>
    <w:rsid w:val="00CC1F71"/>
    <w:rsid w:val="00CC528B"/>
    <w:rsid w:val="00CC5588"/>
    <w:rsid w:val="00CC5EB3"/>
    <w:rsid w:val="00CD0E7B"/>
    <w:rsid w:val="00CD2ABD"/>
    <w:rsid w:val="00CD4024"/>
    <w:rsid w:val="00CD4617"/>
    <w:rsid w:val="00CD4855"/>
    <w:rsid w:val="00CE4DFE"/>
    <w:rsid w:val="00CE6B16"/>
    <w:rsid w:val="00CE6D43"/>
    <w:rsid w:val="00CE7888"/>
    <w:rsid w:val="00D10E1C"/>
    <w:rsid w:val="00D122F6"/>
    <w:rsid w:val="00D161A3"/>
    <w:rsid w:val="00D22E49"/>
    <w:rsid w:val="00D23716"/>
    <w:rsid w:val="00D25ED8"/>
    <w:rsid w:val="00D27F8F"/>
    <w:rsid w:val="00D30243"/>
    <w:rsid w:val="00D316B8"/>
    <w:rsid w:val="00D31CFC"/>
    <w:rsid w:val="00D3255D"/>
    <w:rsid w:val="00D32B59"/>
    <w:rsid w:val="00D340C3"/>
    <w:rsid w:val="00D376B9"/>
    <w:rsid w:val="00D409CD"/>
    <w:rsid w:val="00D423D4"/>
    <w:rsid w:val="00D42CAF"/>
    <w:rsid w:val="00D5310F"/>
    <w:rsid w:val="00D601EF"/>
    <w:rsid w:val="00D60C3E"/>
    <w:rsid w:val="00D61533"/>
    <w:rsid w:val="00D63B2F"/>
    <w:rsid w:val="00D70747"/>
    <w:rsid w:val="00D72288"/>
    <w:rsid w:val="00D7261D"/>
    <w:rsid w:val="00D755FC"/>
    <w:rsid w:val="00D76B6D"/>
    <w:rsid w:val="00D84D07"/>
    <w:rsid w:val="00D8526A"/>
    <w:rsid w:val="00D90E91"/>
    <w:rsid w:val="00D94C2B"/>
    <w:rsid w:val="00DA111A"/>
    <w:rsid w:val="00DB60E1"/>
    <w:rsid w:val="00DC1347"/>
    <w:rsid w:val="00DC308B"/>
    <w:rsid w:val="00DC311E"/>
    <w:rsid w:val="00DC3154"/>
    <w:rsid w:val="00DC39F1"/>
    <w:rsid w:val="00DE2008"/>
    <w:rsid w:val="00DE4B35"/>
    <w:rsid w:val="00DE64CF"/>
    <w:rsid w:val="00DF19C1"/>
    <w:rsid w:val="00DF21DA"/>
    <w:rsid w:val="00DF54CA"/>
    <w:rsid w:val="00DF56C9"/>
    <w:rsid w:val="00DF5911"/>
    <w:rsid w:val="00DF5B64"/>
    <w:rsid w:val="00E02794"/>
    <w:rsid w:val="00E043E3"/>
    <w:rsid w:val="00E04660"/>
    <w:rsid w:val="00E0505B"/>
    <w:rsid w:val="00E11280"/>
    <w:rsid w:val="00E12359"/>
    <w:rsid w:val="00E152FF"/>
    <w:rsid w:val="00E24595"/>
    <w:rsid w:val="00E2461B"/>
    <w:rsid w:val="00E24886"/>
    <w:rsid w:val="00E25B2C"/>
    <w:rsid w:val="00E271C6"/>
    <w:rsid w:val="00E276FB"/>
    <w:rsid w:val="00E32595"/>
    <w:rsid w:val="00E32DC6"/>
    <w:rsid w:val="00E33A74"/>
    <w:rsid w:val="00E34FA6"/>
    <w:rsid w:val="00E4030B"/>
    <w:rsid w:val="00E40857"/>
    <w:rsid w:val="00E41D56"/>
    <w:rsid w:val="00E457DF"/>
    <w:rsid w:val="00E46642"/>
    <w:rsid w:val="00E5139A"/>
    <w:rsid w:val="00E5413D"/>
    <w:rsid w:val="00E57977"/>
    <w:rsid w:val="00E635D7"/>
    <w:rsid w:val="00E6375E"/>
    <w:rsid w:val="00E70576"/>
    <w:rsid w:val="00E71DED"/>
    <w:rsid w:val="00E83954"/>
    <w:rsid w:val="00E90C7A"/>
    <w:rsid w:val="00E91730"/>
    <w:rsid w:val="00E95D04"/>
    <w:rsid w:val="00E96F04"/>
    <w:rsid w:val="00E97AEC"/>
    <w:rsid w:val="00EA1963"/>
    <w:rsid w:val="00EA20FE"/>
    <w:rsid w:val="00EA2AE0"/>
    <w:rsid w:val="00EA7135"/>
    <w:rsid w:val="00EB491E"/>
    <w:rsid w:val="00EB681B"/>
    <w:rsid w:val="00EB7363"/>
    <w:rsid w:val="00EC2255"/>
    <w:rsid w:val="00EC4936"/>
    <w:rsid w:val="00EC4FAD"/>
    <w:rsid w:val="00ED484F"/>
    <w:rsid w:val="00ED4B56"/>
    <w:rsid w:val="00EE3CFA"/>
    <w:rsid w:val="00EE439D"/>
    <w:rsid w:val="00EE69E4"/>
    <w:rsid w:val="00EF2A7F"/>
    <w:rsid w:val="00EF7E90"/>
    <w:rsid w:val="00F002B6"/>
    <w:rsid w:val="00F0169E"/>
    <w:rsid w:val="00F04B66"/>
    <w:rsid w:val="00F10AFE"/>
    <w:rsid w:val="00F15C6C"/>
    <w:rsid w:val="00F17173"/>
    <w:rsid w:val="00F20987"/>
    <w:rsid w:val="00F20CA6"/>
    <w:rsid w:val="00F20D27"/>
    <w:rsid w:val="00F224DC"/>
    <w:rsid w:val="00F22C11"/>
    <w:rsid w:val="00F2687F"/>
    <w:rsid w:val="00F26A5E"/>
    <w:rsid w:val="00F27F29"/>
    <w:rsid w:val="00F32D54"/>
    <w:rsid w:val="00F36C54"/>
    <w:rsid w:val="00F418EA"/>
    <w:rsid w:val="00F41A29"/>
    <w:rsid w:val="00F44C1C"/>
    <w:rsid w:val="00F46711"/>
    <w:rsid w:val="00F46949"/>
    <w:rsid w:val="00F518DF"/>
    <w:rsid w:val="00F5369C"/>
    <w:rsid w:val="00F544DB"/>
    <w:rsid w:val="00F5638B"/>
    <w:rsid w:val="00F6502E"/>
    <w:rsid w:val="00F65663"/>
    <w:rsid w:val="00F710DF"/>
    <w:rsid w:val="00F73855"/>
    <w:rsid w:val="00F75147"/>
    <w:rsid w:val="00F756C0"/>
    <w:rsid w:val="00F75A40"/>
    <w:rsid w:val="00F77637"/>
    <w:rsid w:val="00F8435D"/>
    <w:rsid w:val="00F862E5"/>
    <w:rsid w:val="00F86D0D"/>
    <w:rsid w:val="00F87921"/>
    <w:rsid w:val="00F87DD0"/>
    <w:rsid w:val="00F916F4"/>
    <w:rsid w:val="00F93170"/>
    <w:rsid w:val="00F93360"/>
    <w:rsid w:val="00F93FE4"/>
    <w:rsid w:val="00F97E4E"/>
    <w:rsid w:val="00FA1A40"/>
    <w:rsid w:val="00FA217B"/>
    <w:rsid w:val="00FA3E32"/>
    <w:rsid w:val="00FA4324"/>
    <w:rsid w:val="00FA6F42"/>
    <w:rsid w:val="00FB0BC5"/>
    <w:rsid w:val="00FB0BCC"/>
    <w:rsid w:val="00FC0FE5"/>
    <w:rsid w:val="00FC2EF0"/>
    <w:rsid w:val="00FD1ABC"/>
    <w:rsid w:val="00FD602C"/>
    <w:rsid w:val="00FD7DDF"/>
    <w:rsid w:val="00FE1DC6"/>
    <w:rsid w:val="00FE418F"/>
    <w:rsid w:val="00FE46A1"/>
    <w:rsid w:val="00FE4C92"/>
    <w:rsid w:val="00FE7A9F"/>
    <w:rsid w:val="00FF01EF"/>
    <w:rsid w:val="00FF06C5"/>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bidi="yi-He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5B3BE568"/>
  <w15:docId w15:val="{ABFE2E09-F1BF-4667-B325-53AB9718F337}"/>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o-RO" w:eastAsia="de-DE" w:bidi="de-DE"/>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0CA6"/>
    <w:pPr>
      <w:spacing w:line="288" w:lineRule="auto"/>
      <w:jc w:val="both"/>
    </w:pPr>
    <w:rPr>
      <w:lang w:eastAsia="en-US" w:bidi="ar-SA"/>
    </w:rPr>
  </w:style>
  <w:style w:type="paragraph" w:styleId="Heading1">
    <w:name w:val="heading 1"/>
    <w:basedOn w:val="Normal"/>
    <w:next w:val="Normal"/>
    <w:link w:val="Heading1Char"/>
    <w:qFormat/>
    <w:rsid w:val="00F20CA6"/>
    <w:pPr>
      <w:numPr>
        <w:numId w:val="1"/>
      </w:numPr>
      <w:ind w:left="567" w:hanging="567"/>
      <w:outlineLvl w:val="0"/>
    </w:pPr>
    <w:rPr>
      <w:kern w:val="28"/>
    </w:rPr>
  </w:style>
  <w:style w:type="paragraph" w:styleId="Heading2">
    <w:name w:val="heading 2"/>
    <w:basedOn w:val="Normal"/>
    <w:next w:val="Normal"/>
    <w:link w:val="Heading2Char"/>
    <w:qFormat/>
    <w:rsid w:val="00F20CA6"/>
    <w:pPr>
      <w:numPr>
        <w:ilvl w:val="1"/>
        <w:numId w:val="1"/>
      </w:numPr>
      <w:ind w:left="567" w:hanging="567"/>
      <w:outlineLvl w:val="1"/>
    </w:pPr>
  </w:style>
  <w:style w:type="paragraph" w:styleId="Heading3">
    <w:name w:val="heading 3"/>
    <w:basedOn w:val="Normal"/>
    <w:next w:val="Normal"/>
    <w:link w:val="Heading3Char"/>
    <w:qFormat/>
    <w:rsid w:val="00F20CA6"/>
    <w:pPr>
      <w:numPr>
        <w:ilvl w:val="2"/>
        <w:numId w:val="1"/>
      </w:numPr>
      <w:ind w:left="567" w:hanging="567"/>
      <w:outlineLvl w:val="2"/>
    </w:pPr>
  </w:style>
  <w:style w:type="paragraph" w:styleId="Heading4">
    <w:name w:val="heading 4"/>
    <w:basedOn w:val="Normal"/>
    <w:next w:val="Normal"/>
    <w:link w:val="Heading4Char"/>
    <w:qFormat/>
    <w:rsid w:val="00F20CA6"/>
    <w:pPr>
      <w:numPr>
        <w:ilvl w:val="3"/>
        <w:numId w:val="1"/>
      </w:numPr>
      <w:ind w:left="567" w:hanging="567"/>
      <w:outlineLvl w:val="3"/>
    </w:pPr>
  </w:style>
  <w:style w:type="paragraph" w:styleId="Heading5">
    <w:name w:val="heading 5"/>
    <w:basedOn w:val="Normal"/>
    <w:next w:val="Normal"/>
    <w:link w:val="Heading5Char"/>
    <w:qFormat/>
    <w:rsid w:val="00F20CA6"/>
    <w:pPr>
      <w:numPr>
        <w:ilvl w:val="4"/>
        <w:numId w:val="1"/>
      </w:numPr>
      <w:ind w:left="567" w:hanging="567"/>
      <w:outlineLvl w:val="4"/>
    </w:pPr>
  </w:style>
  <w:style w:type="paragraph" w:styleId="Heading6">
    <w:name w:val="heading 6"/>
    <w:basedOn w:val="Normal"/>
    <w:next w:val="Normal"/>
    <w:link w:val="Heading6Char"/>
    <w:qFormat/>
    <w:rsid w:val="00F20CA6"/>
    <w:pPr>
      <w:numPr>
        <w:ilvl w:val="5"/>
        <w:numId w:val="1"/>
      </w:numPr>
      <w:ind w:left="567" w:hanging="567"/>
      <w:outlineLvl w:val="5"/>
    </w:pPr>
  </w:style>
  <w:style w:type="paragraph" w:styleId="Heading7">
    <w:name w:val="heading 7"/>
    <w:basedOn w:val="Normal"/>
    <w:next w:val="Normal"/>
    <w:link w:val="Heading7Char"/>
    <w:qFormat/>
    <w:rsid w:val="00F20CA6"/>
    <w:pPr>
      <w:numPr>
        <w:ilvl w:val="6"/>
        <w:numId w:val="1"/>
      </w:numPr>
      <w:ind w:left="567" w:hanging="567"/>
      <w:outlineLvl w:val="6"/>
    </w:pPr>
  </w:style>
  <w:style w:type="paragraph" w:styleId="Heading8">
    <w:name w:val="heading 8"/>
    <w:basedOn w:val="Normal"/>
    <w:next w:val="Normal"/>
    <w:link w:val="Heading8Char"/>
    <w:qFormat/>
    <w:rsid w:val="00F20CA6"/>
    <w:pPr>
      <w:numPr>
        <w:ilvl w:val="7"/>
        <w:numId w:val="1"/>
      </w:numPr>
      <w:ind w:left="567" w:hanging="567"/>
      <w:outlineLvl w:val="7"/>
    </w:pPr>
  </w:style>
  <w:style w:type="paragraph" w:styleId="Heading9">
    <w:name w:val="heading 9"/>
    <w:basedOn w:val="Normal"/>
    <w:next w:val="Normal"/>
    <w:link w:val="Heading9Char"/>
    <w:qFormat/>
    <w:rsid w:val="00F20CA6"/>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ro-RO" w:eastAsia="en-US" w:bidi="ar-SA"/>
    </w:rPr>
  </w:style>
  <w:style w:type="character" w:customStyle="1" w:styleId="Heading2Char">
    <w:name w:val="Heading 2 Char"/>
    <w:basedOn w:val="DefaultParagraphFont"/>
    <w:link w:val="Heading2"/>
    <w:locked/>
    <w:rsid w:val="00CB1536"/>
    <w:rPr>
      <w:lang w:val="ro-RO" w:eastAsia="en-US" w:bidi="ar-SA"/>
    </w:rPr>
  </w:style>
  <w:style w:type="character" w:customStyle="1" w:styleId="Heading3Char">
    <w:name w:val="Heading 3 Char"/>
    <w:basedOn w:val="DefaultParagraphFont"/>
    <w:link w:val="Heading3"/>
    <w:locked/>
    <w:rsid w:val="00CB1536"/>
    <w:rPr>
      <w:lang w:val="ro-RO" w:eastAsia="en-US" w:bidi="ar-SA"/>
    </w:rPr>
  </w:style>
  <w:style w:type="character" w:customStyle="1" w:styleId="Heading4Char">
    <w:name w:val="Heading 4 Char"/>
    <w:basedOn w:val="DefaultParagraphFont"/>
    <w:link w:val="Heading4"/>
    <w:locked/>
    <w:rsid w:val="00CB1536"/>
    <w:rPr>
      <w:lang w:val="ro-RO" w:eastAsia="en-US" w:bidi="ar-SA"/>
    </w:rPr>
  </w:style>
  <w:style w:type="character" w:customStyle="1" w:styleId="Heading5Char">
    <w:name w:val="Heading 5 Char"/>
    <w:basedOn w:val="DefaultParagraphFont"/>
    <w:link w:val="Heading5"/>
    <w:locked/>
    <w:rsid w:val="00CB1536"/>
    <w:rPr>
      <w:lang w:val="ro-RO" w:eastAsia="en-US" w:bidi="ar-SA"/>
    </w:rPr>
  </w:style>
  <w:style w:type="character" w:customStyle="1" w:styleId="Heading6Char">
    <w:name w:val="Heading 6 Char"/>
    <w:basedOn w:val="DefaultParagraphFont"/>
    <w:link w:val="Heading6"/>
    <w:locked/>
    <w:rsid w:val="00CB1536"/>
    <w:rPr>
      <w:lang w:val="ro-RO" w:eastAsia="en-US" w:bidi="ar-SA"/>
    </w:rPr>
  </w:style>
  <w:style w:type="character" w:customStyle="1" w:styleId="Heading7Char">
    <w:name w:val="Heading 7 Char"/>
    <w:basedOn w:val="DefaultParagraphFont"/>
    <w:link w:val="Heading7"/>
    <w:locked/>
    <w:rsid w:val="00CB1536"/>
    <w:rPr>
      <w:lang w:val="ro-RO" w:eastAsia="en-US" w:bidi="ar-SA"/>
    </w:rPr>
  </w:style>
  <w:style w:type="character" w:customStyle="1" w:styleId="Heading8Char">
    <w:name w:val="Heading 8 Char"/>
    <w:basedOn w:val="DefaultParagraphFont"/>
    <w:link w:val="Heading8"/>
    <w:locked/>
    <w:rsid w:val="00CB1536"/>
    <w:rPr>
      <w:lang w:val="ro-RO" w:eastAsia="en-US" w:bidi="ar-SA"/>
    </w:rPr>
  </w:style>
  <w:style w:type="character" w:customStyle="1" w:styleId="Heading9Char">
    <w:name w:val="Heading 9 Char"/>
    <w:basedOn w:val="DefaultParagraphFont"/>
    <w:link w:val="Heading9"/>
    <w:locked/>
    <w:rsid w:val="00CB1536"/>
    <w:rPr>
      <w:lang w:val="ro-RO" w:eastAsia="en-US" w:bidi="ar-SA"/>
    </w:rPr>
  </w:style>
  <w:style w:type="paragraph" w:styleId="Footer">
    <w:name w:val="footer"/>
    <w:basedOn w:val="Normal"/>
    <w:link w:val="FooterChar"/>
    <w:qFormat/>
    <w:rsid w:val="00F20CA6"/>
  </w:style>
  <w:style w:type="character" w:customStyle="1" w:styleId="FooterChar">
    <w:name w:val="Footer Char"/>
    <w:basedOn w:val="DefaultParagraphFont"/>
    <w:link w:val="Footer"/>
    <w:locked/>
    <w:rsid w:val="00CB1536"/>
    <w:rPr>
      <w:lang w:eastAsia="en-US" w:bidi="ar-SA"/>
    </w:rPr>
  </w:style>
  <w:style w:type="paragraph" w:styleId="FootnoteText">
    <w:name w:val="footnote text"/>
    <w:aliases w:val="~FootnoteText,Fußnotentext Char,Fußnotentext Char2 Char,Fußnotentext Char1 Char Char,Fußnotentext Char Char Char Char,Fußnotentext Char Char1 Char,Fußnotentext Char2,Fußnotentext Char1 Char,Fußnotentext Char Char Char,WB-Fußnotentext,fn,ft"/>
    <w:basedOn w:val="Normal"/>
    <w:link w:val="FootnoteTextChar"/>
    <w:qFormat/>
    <w:rsid w:val="00F20CA6"/>
    <w:pPr>
      <w:keepLines/>
      <w:spacing w:after="60" w:line="240" w:lineRule="auto"/>
      <w:ind w:left="567" w:hanging="567"/>
    </w:pPr>
    <w:rPr>
      <w:sz w:val="16"/>
    </w:rPr>
  </w:style>
  <w:style w:type="character" w:customStyle="1" w:styleId="FootnoteTextChar">
    <w:name w:val="Footnote Text Char"/>
    <w:aliases w:val="~FootnoteText Char,Fußnotentext Char Char,Fußnotentext Char2 Char Char,Fußnotentext Char1 Char Char Char,Fußnotentext Char Char Char Char Char,Fußnotentext Char Char1 Char Char,Fußnotentext Char2 Char1,Fußnotentext Char1 Char Char1"/>
    <w:basedOn w:val="DefaultParagraphFont"/>
    <w:link w:val="FootnoteText"/>
    <w:qFormat/>
    <w:locked/>
    <w:rsid w:val="00CB1536"/>
    <w:rPr>
      <w:sz w:val="16"/>
      <w:lang w:val="ro-RO" w:eastAsia="en-US" w:bidi="ar-SA"/>
    </w:rPr>
  </w:style>
  <w:style w:type="paragraph" w:styleId="Header">
    <w:name w:val="header"/>
    <w:basedOn w:val="Normal"/>
    <w:link w:val="HeaderChar"/>
    <w:qFormat/>
    <w:rsid w:val="00F20CA6"/>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customStyle="1" w:styleId="quotes">
    <w:name w:val="quotes"/>
    <w:basedOn w:val="Normal"/>
    <w:next w:val="Normal"/>
    <w:rsid w:val="00F20CA6"/>
    <w:pPr>
      <w:ind w:left="720"/>
    </w:pPr>
    <w:rPr>
      <w:i/>
    </w:rPr>
  </w:style>
  <w:style w:type="paragraph" w:styleId="CommentText">
    <w:name w:val="annotation text"/>
    <w:basedOn w:val="Normal"/>
    <w:link w:val="CommentTextChar"/>
    <w:uiPriority w:val="99"/>
    <w:unhideWhenUsed/>
    <w:rsid w:val="00392EF1"/>
    <w:pPr>
      <w:spacing w:line="240" w:lineRule="auto"/>
    </w:pPr>
    <w:rPr>
      <w:sz w:val="20"/>
      <w:szCs w:val="20"/>
    </w:rPr>
  </w:style>
  <w:style w:type="character" w:customStyle="1" w:styleId="CommentTextChar">
    <w:name w:val="Comment Text Char"/>
    <w:basedOn w:val="DefaultParagraphFont"/>
    <w:link w:val="CommentText"/>
    <w:uiPriority w:val="99"/>
    <w:rsid w:val="00392EF1"/>
    <w:rPr>
      <w:sz w:val="20"/>
      <w:szCs w:val="20"/>
      <w:lang w:eastAsia="en-US" w:bidi="ar-SA"/>
    </w:rPr>
  </w:style>
  <w:style w:type="paragraph" w:styleId="BalloonText">
    <w:name w:val="Balloon Text"/>
    <w:basedOn w:val="Normal"/>
    <w:link w:val="BalloonTextChar"/>
    <w:uiPriority w:val="99"/>
    <w:semiHidden/>
    <w:unhideWhenUsed/>
    <w:rsid w:val="00786E7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6E7C"/>
    <w:rPr>
      <w:rFonts w:ascii="Segoe UI" w:hAnsi="Segoe UI" w:cs="Segoe UI"/>
      <w:sz w:val="18"/>
      <w:szCs w:val="18"/>
      <w:lang w:val="ro-RO"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3.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8" Type="http://schemas.openxmlformats.org/officeDocument/2006/relationships/hyperlink" Target="https://www.strom-resilienz.de/data/stromresilienz/user_upload/Dateien/Schlussbericht_Strom-Resilienz.pdf" TargetMode="External"/><Relationship Id="rId13" Type="http://schemas.openxmlformats.org/officeDocument/2006/relationships/hyperlink" Target="https://eur-lex.europa.eu/legal-content/RO/TXT/?uri=CELEX:52016AE6895&amp;qid=1613735054011" TargetMode="External"/><Relationship Id="rId3" Type="http://schemas.openxmlformats.org/officeDocument/2006/relationships/hyperlink" Target="http://eur-lex.europa.eu/LexUriServ/LexUriServ.do?uri=OJ:C:2020:047:SOM:RO:HTML" TargetMode="External"/><Relationship Id="rId7" Type="http://schemas.openxmlformats.org/officeDocument/2006/relationships/hyperlink" Target="http://eur-lex.europa.eu/legal-content/RO/TXT/?uri=OJ:C:2020:429:TOC" TargetMode="External"/><Relationship Id="rId12" Type="http://schemas.openxmlformats.org/officeDocument/2006/relationships/hyperlink" Target="https://eur-lex.europa.eu/legal-content/RO/TXT/?uri=CELEX:52020AE3018&amp;qid=1615550202956" TargetMode="External"/><Relationship Id="rId2" Type="http://schemas.openxmlformats.org/officeDocument/2006/relationships/hyperlink" Target="https://eur-lex.europa.eu/legal-content/RO/TXT/?uri=CELEX:52020DC0950&amp;qid=1607524251598" TargetMode="External"/><Relationship Id="rId1" Type="http://schemas.openxmlformats.org/officeDocument/2006/relationships/hyperlink" Target="https://eur-lex.europa.eu/legal-content/RO/TXT/HTML/?uri=CELEX:52015DC0080&amp;from=RO" TargetMode="External"/><Relationship Id="rId6" Type="http://schemas.openxmlformats.org/officeDocument/2006/relationships/hyperlink" Target="file://isis/dfs/shr-Trad_Auto_Services/Ariane/Corrections/COM(2015)%2080%20final,%20p.%2013." TargetMode="External"/><Relationship Id="rId11" Type="http://schemas.openxmlformats.org/officeDocument/2006/relationships/hyperlink" Target="https://eur-lex.europa.eu/legal-content/RO/TXT/?qid=1613734912385&amp;uri=CELEX:52015AE5033" TargetMode="External"/><Relationship Id="rId5" Type="http://schemas.openxmlformats.org/officeDocument/2006/relationships/hyperlink" Target="http://eur-lex.europa.eu/legal-content/RO/TXT/?uri=OJ:C:2020:429:TOC" TargetMode="External"/><Relationship Id="rId10" Type="http://schemas.openxmlformats.org/officeDocument/2006/relationships/hyperlink" Target="https://eur-lex.europa.eu/LexUriServ/LexUriServ.do?uri=OJ:C:2021:123:SOM:RO:HTML" TargetMode="External"/><Relationship Id="rId4" Type="http://schemas.openxmlformats.org/officeDocument/2006/relationships/hyperlink" Target="http://eur-lex.europa.eu/legal-content/RO/TXT/?uri=OJ:C:2019:062:TOC" TargetMode="External"/><Relationship Id="rId9" Type="http://schemas.openxmlformats.org/officeDocument/2006/relationships/hyperlink" Target="https://eur-lex.europa.eu/LexUriServ/LexUriServ.do?uri=OJ:C:2021:123:SOM:RO:HTML" TargetMode="External"/><Relationship Id="rId14" Type="http://schemas.openxmlformats.org/officeDocument/2006/relationships/hyperlink" Target="https://eur-lex.europa.eu/legal-content/RO/TXT/?uri=CELEX:52016IE6805&amp;qid=1613735271622"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VV634QRNENMJ-592872750-7601</_dlc_DocId>
    <_dlc_DocIdUrl xmlns="cda99570-6012-4083-bfeb-7d32ad1ce1a3">
      <Url>http://dm2016/eesc/2020/_layouts/15/DocIdRedir.aspx?ID=VV634QRNENMJ-592872750-7601</Url>
      <Description>VV634QRNENMJ-592872750-7601</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2021-04-22T12:00:00+00:00</ProductionDate>
    <DocumentNumber xmlns="fe314fe7-af03-4a89-9224-0704990312b2">4915</DocumentNumber>
    <FicheYear xmlns="cda99570-6012-4083-bfeb-7d32ad1ce1a3" xsi:nil="true"/>
    <DocumentVersion xmlns="cda99570-6012-4083-bfeb-7d32ad1ce1a3">1</DocumentVersion>
    <DossierNumber xmlns="cda99570-6012-4083-bfeb-7d32ad1ce1a3">724</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48</Value>
      <Value>47</Value>
      <Value>46</Value>
      <Value>45</Value>
      <Value>44</Value>
      <Value>43</Value>
      <Value>41</Value>
      <Value>40</Value>
      <Value>39</Value>
      <Value>38</Value>
      <Value>36</Value>
      <Value>34</Value>
      <Value>32</Value>
      <Value>31</Value>
      <Value>30</Value>
      <Value>29</Value>
      <Value>28</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RO</TermName>
          <TermId xmlns="http://schemas.microsoft.com/office/infopath/2007/PartnerControls">feb747a2-64cd-4299-af12-4833ddc30497</TermId>
        </TermInfo>
      </Terms>
    </DocumentLanguage_0>
    <Rapporteur xmlns="cda99570-6012-4083-bfeb-7d32ad1ce1a3">RIBBE</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5459</FicheNumber>
    <DocumentPart xmlns="cda99570-6012-4083-bfeb-7d32ad1ce1a3">0</DocumentPart>
    <AdoptionDate xmlns="cda99570-6012-4083-bfeb-7d32ad1ce1a3">2021-03-24T12:00:00+00:00</AdoptionDate>
    <RequestingService xmlns="cda99570-6012-4083-bfeb-7d32ad1ce1a3">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34EBC148-DB42-4170-BCF2-24C9816A6D0E}"/>
</file>

<file path=customXml/itemProps2.xml><?xml version="1.0" encoding="utf-8"?>
<ds:datastoreItem xmlns:ds="http://schemas.openxmlformats.org/officeDocument/2006/customXml" ds:itemID="{4976A110-C6C4-4624-B907-65869A65B665}"/>
</file>

<file path=customXml/itemProps3.xml><?xml version="1.0" encoding="utf-8"?>
<ds:datastoreItem xmlns:ds="http://schemas.openxmlformats.org/officeDocument/2006/customXml" ds:itemID="{7BD302DC-B187-42F1-A4B0-29D1CC326010}"/>
</file>

<file path=customXml/itemProps4.xml><?xml version="1.0" encoding="utf-8"?>
<ds:datastoreItem xmlns:ds="http://schemas.openxmlformats.org/officeDocument/2006/customXml" ds:itemID="{A93B2C9D-A878-4989-B367-4EA75F0ED76D}"/>
</file>

<file path=docProps/app.xml><?xml version="1.0" encoding="utf-8"?>
<Properties xmlns="http://schemas.openxmlformats.org/officeDocument/2006/extended-properties" xmlns:vt="http://schemas.openxmlformats.org/officeDocument/2006/docPropsVTypes">
  <Template>Styles</Template>
  <TotalTime>9</TotalTime>
  <Pages>14</Pages>
  <Words>5342</Words>
  <Characters>31267</Characters>
  <Application>Microsoft Office Word</Application>
  <DocSecurity>0</DocSecurity>
  <Lines>260</Lines>
  <Paragraphs>73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State of the Energy Union Report 2020 and Assessment of National Energy and Climate Plans</vt:lpstr>
      <vt:lpstr>European Agenda on Migration: Second implementation package - A permanent crisis relocation mechanism under the Dublin system</vt:lpstr>
    </vt:vector>
  </TitlesOfParts>
  <Company>CESE-CdR</Company>
  <LinksUpToDate>false</LinksUpToDate>
  <CharactersWithSpaces>36536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Raportul din 2020 privind starea uniunii energetice și evaluarea planurilor energetice și climatice naționale</dc:title>
  <dc:subject>AC</dc:subject>
  <dc:creator>Emma Nieddu</dc:creator>
  <cp:keywords>EESC-2020-04915-00-01-AC-TRA-EN</cp:keywords>
  <dc:description>Rapporteur: RIBBE - Original language: EN - Date of document: 22/04/2021 - Date of meeting:  - External documents: COM(2020)950-final - Administrator:  RIZZI Alessandro</dc:description>
  <cp:lastModifiedBy>Greff Daniela</cp:lastModifiedBy>
  <cp:revision>3</cp:revision>
  <cp:lastPrinted>2016-07-15T09:51:00Z</cp:lastPrinted>
  <dcterms:created xsi:type="dcterms:W3CDTF">2021-04-22T09:54:00Z</dcterms:created>
  <dcterms:modified xsi:type="dcterms:W3CDTF">2021-04-22T10:03:00Z</dcterms:modified>
  <cp:category>TEN/724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31/03/2021, 12/03/2021, 24/02/2021, 19/02/2021, 20/01/2021, 10/12/2020, 28/09/2020, 14/09/2020, 04/11/2015, 27/10/2015, 19/10/2015, 09/10/2015, 05/10/2015, 05/10/2015, 26/08/2015, 26/08/2015, 25/08/2015</vt:lpwstr>
  </property>
  <property fmtid="{D5CDD505-2E9C-101B-9397-08002B2CF9AE}" pid="4" name="Pref_Time">
    <vt:lpwstr>08:42:16, 16:22:40, 11:32:31, 16:55:47, 16:52:36, 08:54:49, 14:47:33, 13:56:52, 12:10:07, 14:44:02, 16:04:16, 14:09:30, 16:24:55, 16:04:02, 08:56:14, 07:27:56, 17:31:53</vt:lpwstr>
  </property>
  <property fmtid="{D5CDD505-2E9C-101B-9397-08002B2CF9AE}" pid="5" name="Pref_User">
    <vt:lpwstr>hnic, amett, enied, hnic, hnic, enied, hnic, mkop, ssex, enied, amett, tvoc, mreg, mreg, amett, enied, ssex</vt:lpwstr>
  </property>
  <property fmtid="{D5CDD505-2E9C-101B-9397-08002B2CF9AE}" pid="6" name="Pref_FileName">
    <vt:lpwstr>EESC-2020-04915-00-00-AC-ORI.docx, EESC-2020-04915-00-00-AS-TRA-EN-CRR.docx, EESC-2020-04915-00-01-PA-ORI.docx, EESC-2020-04915-00-00-PA-TRA-DE-CRR.docx, EESC-2020-04915-00-00-APA-TRA-DE-CRR.docx, EESC-2020-04915-00-00-DT-TRA-DE-CRR.docx, EESC-2020-03534-</vt:lpwstr>
  </property>
  <property fmtid="{D5CDD505-2E9C-101B-9397-08002B2CF9AE}" pid="7" name="ContentTypeId">
    <vt:lpwstr>0x010100EA97B91038054C99906057A708A1480A00B2B329A7DAC4C144A75447C3256C027E</vt:lpwstr>
  </property>
  <property fmtid="{D5CDD505-2E9C-101B-9397-08002B2CF9AE}" pid="8" name="_dlc_DocIdItemGuid">
    <vt:lpwstr>d6980d52-e582-4ae7-ae4a-a2786636c863</vt:lpwstr>
  </property>
  <property fmtid="{D5CDD505-2E9C-101B-9397-08002B2CF9AE}" pid="9" name="AvailableTranslations">
    <vt:lpwstr>31;#CS|72f9705b-0217-4fd3-bea2-cbc7ed80e26e;#41;#NL|55c6556c-b4f4-441d-9acf-c498d4f838bd;#40;#SV|c2ed69e7-a339-43d7-8f22-d93680a92aa0;#4;#EN|f2175f21-25d7-44a3-96da-d6a61b075e1b;#13;#IT|0774613c-01ed-4e5d-a25d-11d2388de825;#24;#LV|46f7e311-5d9f-4663-b433-18aeccb7ace7;#36;#MT|7df99101-6854-4a26-b53a-b88c0da02c26;#47;#ET|ff6c3f4c-b02c-4c3c-ab07-2c37995a7a0a;#34;#SL|98a412ae-eb01-49e9-ae3d-585a81724cfc;#11;#FR|d2afafd3-4c81-4f60-8f52-ee33f2f54ff3;#32;#DA|5d49c027-8956-412b-aa16-e85a0f96ad0e;#46;#SK|46d9fce0-ef79-4f71-b89b-cd6aa82426b8;#48;#RO|feb747a2-64cd-4299-af12-4833ddc30497;#39;#HU|6b229040-c589-4408-b4c1-4285663d20a8;#43;#HR|2f555653-ed1a-4fe6-8362-9082d95989e5;#38;#EL|6d4f4d51-af9b-4650-94b4-4276bee85c91;#10;#DE|f6b31e5a-26fa-4935-b661-318e46daf27e;#9;#PL|1e03da61-4678-4e07-b136-b5024ca9197b;#44;#BG|1a1b3951-7821-4e6a-85f5-5673fc08bd2c;#29;#PT|50ccc04a-eadd-42ae-a0cb-acaf45f812ba;#30;#LT|a7ff5ce7-6123-4f68-865a-a57c31810414;#16;#ES|e7a6b05b-ae16-40c8-add9-68b64b03aeba;#45;#FI|87606a43-d45f-42d6-b8c9-e1a3457db5b7</vt:lpwstr>
  </property>
  <property fmtid="{D5CDD505-2E9C-101B-9397-08002B2CF9AE}" pid="10" name="DocumentType_0">
    <vt:lpwstr>AC|a4cc1d15-fb08-4679-ad46-e4e0cba5fe92</vt:lpwstr>
  </property>
  <property fmtid="{D5CDD505-2E9C-101B-9397-08002B2CF9AE}" pid="11" name="DossierName_0">
    <vt:lpwstr>TEN|5e12260d-3aca-41f8-baf2-ad3d18475f10</vt:lpwstr>
  </property>
  <property fmtid="{D5CDD505-2E9C-101B-9397-08002B2CF9AE}" pid="12" name="DocumentSource_0">
    <vt:lpwstr>EESC|422833ec-8d7e-4e65-8e4e-8bed07ffb729</vt:lpwstr>
  </property>
  <property fmtid="{D5CDD505-2E9C-101B-9397-08002B2CF9AE}" pid="13" name="DocumentNumber">
    <vt:i4>4915</vt:i4>
  </property>
  <property fmtid="{D5CDD505-2E9C-101B-9397-08002B2CF9AE}" pid="14" name="DocumentVersion">
    <vt:i4>1</vt:i4>
  </property>
  <property fmtid="{D5CDD505-2E9C-101B-9397-08002B2CF9AE}" pid="15" name="DossierNumber">
    <vt:i4>724</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28;#TEN|5e12260d-3aca-41f8-baf2-ad3d18475f10</vt:lpwstr>
  </property>
  <property fmtid="{D5CDD505-2E9C-101B-9397-08002B2CF9AE}" pid="19" name="DocumentSource">
    <vt:lpwstr>1;#EESC|422833ec-8d7e-4e65-8e4e-8bed07ffb729</vt:lpwstr>
  </property>
  <property fmtid="{D5CDD505-2E9C-101B-9397-08002B2CF9AE}" pid="20" name="AdoptionDate">
    <vt:filetime>2021-03-24T12:00:00Z</vt:filetime>
  </property>
  <property fmtid="{D5CDD505-2E9C-101B-9397-08002B2CF9AE}" pid="21" name="DocumentType">
    <vt:lpwstr>70;#AC|a4cc1d15-fb08-4679-ad46-e4e0cba5fe92</vt:lpwstr>
  </property>
  <property fmtid="{D5CDD505-2E9C-101B-9397-08002B2CF9AE}" pid="22" name="RequestingService">
    <vt:lpwstr>Transports, énergie, infrastructures, société de l'information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CS|72f9705b-0217-4fd3-bea2-cbc7ed80e26e;NL|55c6556c-b4f4-441d-9acf-c498d4f838bd;EN|f2175f21-25d7-44a3-96da-d6a61b075e1b;IT|0774613c-01ed-4e5d-a25d-11d2388de825;LV|46f7e311-5d9f-4663-b433-18aeccb7ace7;MT|7df99101-6854-4a26-b53a-b88c0da02c26;ET|ff6c3f4c-b02c-4c3c-ab07-2c37995a7a0a;SL|98a412ae-eb01-49e9-ae3d-585a81724cfc;DA|5d49c027-8956-412b-aa16-e85a0f96ad0e;SK|46d9fce0-ef79-4f71-b89b-cd6aa82426b8;HU|6b229040-c589-4408-b4c1-4285663d20a8;HR|2f555653-ed1a-4fe6-8362-9082d95989e5;EL|6d4f4d51-af9b-4650-94b4-4276bee85c91;DE|f6b31e5a-26fa-4935-b661-318e46daf27e;BG|1a1b3951-7821-4e6a-85f5-5673fc08bd2c;PT|50ccc04a-eadd-42ae-a0cb-acaf45f812ba;LT|a7ff5ce7-6123-4f68-865a-a57c31810414;ES|e7a6b05b-ae16-40c8-add9-68b64b03aeba;FI|87606a43-d45f-42d6-b8c9-e1a3457db5b7</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36;#MT|7df99101-6854-4a26-b53a-b88c0da02c26;#34;#SL|98a412ae-eb01-49e9-ae3d-585a81724cfc;#70;#AC|a4cc1d15-fb08-4679-ad46-e4e0cba5fe92;#32;#DA|5d49c027-8956-412b-aa16-e85a0f96ad0e;#31;#CS|72f9705b-0217-4fd3-bea2-cbc7ed80e26e;#43;#HR|2f555653-ed1a-4fe6-8362-9082d95989e5;#29;#PT|50ccc04a-eadd-42ae-a0cb-acaf45f812ba;#28;#TEN|5e12260d-3aca-41f8-baf2-ad3d18475f10;#24;#LV|46f7e311-5d9f-4663-b433-18aeccb7ace7;#38;#EL|6d4f4d51-af9b-4650-94b4-4276bee85c91;#39;#HU|6b229040-c589-4408-b4c1-4285663d20a8;#10;#DE|f6b31e5a-26fa-4935-b661-318e46daf27e;#13;#IT|0774613c-01ed-4e5d-a25d-11d2388de825;#16;#ES|e7a6b05b-ae16-40c8-add9-68b64b03aeba;#45;#FI|87606a43-d45f-42d6-b8c9-e1a3457db5b7;#47;#ET|ff6c3f4c-b02c-4c3c-ab07-2c37995a7a0a;#46;#SK|46d9fce0-ef79-4f71-b89b-cd6aa82426b8;#41;#NL|55c6556c-b4f4-441d-9acf-c498d4f838bd;#44;#BG|1a1b3951-7821-4e6a-85f5-5673fc08bd2c;#6;#Final|ea5e6674-7b27-4bac-b091-73adbb394efe;#5;#Unrestricted|826e22d7-d029-4ec0-a450-0c28ff673572;#4;#EN|f2175f21-25d7-44a3-96da-d6a61b075e1b;#2;#TRA|150d2a88-1431-44e6-a8ca-0bb753ab8672;#1;#EESC|422833ec-8d7e-4e65-8e4e-8bed07ffb729;#30;#LT|a7ff5ce7-6123-4f68-865a-a57c31810414</vt:lpwstr>
  </property>
  <property fmtid="{D5CDD505-2E9C-101B-9397-08002B2CF9AE}" pid="33" name="Rapporteur">
    <vt:lpwstr>RIBBE</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5459</vt:i4>
  </property>
  <property fmtid="{D5CDD505-2E9C-101B-9397-08002B2CF9AE}" pid="38" name="DocumentLanguage">
    <vt:lpwstr>48;#RO|feb747a2-64cd-4299-af12-4833ddc30497</vt:lpwstr>
  </property>
</Properties>
</file>