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AC2" w:rsidRPr="00FC35C5" w:rsidRDefault="001A4319" w:rsidP="008C74D9">
      <w:pPr>
        <w:jc w:val="center"/>
      </w:pPr>
      <w:r>
        <w:rPr>
          <w:noProof/>
          <w:lang w:val="en-US"/>
        </w:rPr>
        <w:drawing>
          <wp:inline distT="0" distB="0" distL="0" distR="0">
            <wp:extent cx="1792605" cy="1239520"/>
            <wp:effectExtent l="0" t="0" r="0" b="0"/>
            <wp:docPr id="1" name="Picture 1" title="EESCLogo_CS"/>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792605" cy="1239520"/>
                    </a:xfrm>
                    <a:prstGeom prst="rect">
                      <a:avLst/>
                    </a:prstGeom>
                  </pic:spPr>
                </pic:pic>
              </a:graphicData>
            </a:graphic>
          </wp:inline>
        </w:drawing>
      </w:r>
      <w:r w:rsidR="008C74D9">
        <w:rPr>
          <w:noProof/>
          <w:sz w:val="20"/>
          <w:lang w:val="en-US"/>
        </w:rPr>
        <mc:AlternateContent>
          <mc:Choice Requires="wps">
            <w:drawing>
              <wp:anchor distT="0" distB="0" distL="114300" distR="114300" simplePos="0" relativeHeight="251659264" behindDoc="1" locked="0" layoutInCell="0" allowOverlap="1" wp14:anchorId="131133D6" wp14:editId="15FE452D">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1DB1" w:rsidRPr="00260E65" w:rsidRDefault="002C1DB1">
                            <w:pPr>
                              <w:jc w:val="center"/>
                              <w:rPr>
                                <w:rFonts w:ascii="Arial" w:hAnsi="Arial" w:cs="Arial"/>
                                <w:b/>
                                <w:bCs/>
                                <w:sz w:val="48"/>
                              </w:rPr>
                            </w:pPr>
                            <w:r>
                              <w:rPr>
                                <w:rFonts w:ascii="Arial" w:hAnsi="Arial"/>
                                <w:b/>
                                <w:bCs/>
                                <w:sz w:val="48"/>
                              </w:rPr>
                              <w:t>CS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133D6" id="_x0000_t202" coordsize="21600,21600" o:spt="202" path="m,l,21600r21600,l21600,xe">
                <v:stroke joinstyle="miter"/>
                <v:path gradientshapeok="t" o:connecttype="rect"/>
              </v:shapetype>
              <v:shape id="Text Box 17"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2C1DB1" w:rsidRPr="00260E65" w:rsidRDefault="002C1DB1">
                      <w:pPr>
                        <w:jc w:val="center"/>
                        <w:rPr>
                          <w:rFonts w:ascii="Arial" w:hAnsi="Arial" w:cs="Arial"/>
                          <w:b/>
                          <w:bCs/>
                          <w:sz w:val="48"/>
                        </w:rPr>
                      </w:pPr>
                      <w:r>
                        <w:rPr>
                          <w:rFonts w:ascii="Arial" w:hAnsi="Arial"/>
                          <w:b/>
                          <w:bCs/>
                          <w:sz w:val="48"/>
                        </w:rPr>
                        <w:t>CS</w:t>
                      </w:r>
                    </w:p>
                  </w:txbxContent>
                </v:textbox>
                <w10:wrap anchorx="page" anchory="page"/>
              </v:shape>
            </w:pict>
          </mc:Fallback>
        </mc:AlternateContent>
      </w:r>
    </w:p>
    <w:p w:rsidR="008C74D9" w:rsidRPr="00FC35C5" w:rsidRDefault="008C74D9" w:rsidP="0015678B"/>
    <w:p w:rsidR="00646AC2" w:rsidRPr="00FC35C5" w:rsidRDefault="00AA5798" w:rsidP="0015678B">
      <w:pPr>
        <w:jc w:val="right"/>
      </w:pPr>
      <w:r>
        <w:rPr>
          <w:b/>
        </w:rPr>
        <w:t>ECO/534</w:t>
      </w:r>
    </w:p>
    <w:p w:rsidR="00563C84" w:rsidRPr="00FC35C5" w:rsidRDefault="00AA5798" w:rsidP="0015678B">
      <w:pPr>
        <w:jc w:val="right"/>
      </w:pPr>
      <w:r>
        <w:rPr>
          <w:b/>
        </w:rPr>
        <w:t>Strategie</w:t>
      </w:r>
      <w:r w:rsidR="00E010F5">
        <w:rPr>
          <w:b/>
        </w:rPr>
        <w:t xml:space="preserve"> v </w:t>
      </w:r>
      <w:r>
        <w:rPr>
          <w:b/>
        </w:rPr>
        <w:t>oblasti digitálních financí</w:t>
      </w:r>
    </w:p>
    <w:p w:rsidR="009B30AA" w:rsidRPr="00FC35C5" w:rsidRDefault="009B30AA" w:rsidP="0015678B"/>
    <w:p w:rsidR="009B30AA" w:rsidRPr="00FC35C5" w:rsidRDefault="009B30AA" w:rsidP="0015678B"/>
    <w:p w:rsidR="00646AC2" w:rsidRPr="00FC35C5" w:rsidRDefault="00804B96" w:rsidP="0015678B">
      <w:pPr>
        <w:jc w:val="center"/>
      </w:pPr>
      <w:r>
        <w:rPr>
          <w:b/>
          <w:sz w:val="28"/>
        </w:rPr>
        <w:t>STANOVISKO</w:t>
      </w:r>
      <w:r>
        <w:br/>
      </w:r>
      <w:r>
        <w:br/>
        <w:t>Evropského hospodářského</w:t>
      </w:r>
      <w:r w:rsidR="00E010F5">
        <w:t xml:space="preserve"> a </w:t>
      </w:r>
      <w:r>
        <w:t>sociálního výboru</w:t>
      </w:r>
      <w:r>
        <w:br/>
      </w:r>
      <w:r>
        <w:br/>
      </w:r>
      <w:r>
        <w:rPr>
          <w:b/>
        </w:rPr>
        <w:t>Sdělení Komise Evropskému parlamentu, Radě, Evropskému</w:t>
      </w:r>
      <w:r w:rsidR="00E010F5">
        <w:rPr>
          <w:b/>
        </w:rPr>
        <w:t> </w:t>
      </w:r>
      <w:r>
        <w:rPr>
          <w:b/>
        </w:rPr>
        <w:t>hospodářskému</w:t>
      </w:r>
      <w:r w:rsidR="00E010F5">
        <w:rPr>
          <w:b/>
        </w:rPr>
        <w:t> a sociálnímu </w:t>
      </w:r>
      <w:r>
        <w:rPr>
          <w:b/>
        </w:rPr>
        <w:t>výboru</w:t>
      </w:r>
      <w:r w:rsidR="00E010F5">
        <w:rPr>
          <w:b/>
        </w:rPr>
        <w:t xml:space="preserve"> a </w:t>
      </w:r>
      <w:r>
        <w:rPr>
          <w:b/>
        </w:rPr>
        <w:t>Výboru regionů</w:t>
      </w:r>
      <w:r>
        <w:rPr>
          <w:b/>
        </w:rPr>
        <w:br/>
        <w:t>o strategii EU</w:t>
      </w:r>
      <w:r w:rsidR="00E010F5">
        <w:rPr>
          <w:b/>
        </w:rPr>
        <w:t xml:space="preserve"> v </w:t>
      </w:r>
      <w:r>
        <w:rPr>
          <w:b/>
        </w:rPr>
        <w:t>oblasti digitálních financí</w:t>
      </w:r>
      <w:r>
        <w:br/>
        <w:t>[COM(2020) 591 final]</w:t>
      </w:r>
    </w:p>
    <w:p w:rsidR="009B30AA" w:rsidRPr="00FC35C5" w:rsidRDefault="009B30AA" w:rsidP="0015678B">
      <w:pPr>
        <w:jc w:val="center"/>
      </w:pPr>
    </w:p>
    <w:p w:rsidR="00704FBB" w:rsidRPr="00FC35C5" w:rsidRDefault="007F5E0D" w:rsidP="0015678B">
      <w:pPr>
        <w:jc w:val="center"/>
        <w:rPr>
          <w:b/>
        </w:rPr>
      </w:pPr>
      <w:r>
        <w:t xml:space="preserve">Zpravodaj: </w:t>
      </w:r>
      <w:r>
        <w:rPr>
          <w:b/>
        </w:rPr>
        <w:t>Petru Sorin DANDEA</w:t>
      </w:r>
    </w:p>
    <w:p w:rsidR="00E97E0E" w:rsidRPr="00FC35C5" w:rsidRDefault="00840F00" w:rsidP="0015678B">
      <w:pPr>
        <w:jc w:val="center"/>
        <w:rPr>
          <w:b/>
        </w:rPr>
      </w:pPr>
      <w:r>
        <w:t xml:space="preserve">Spoluzpravodaj: </w:t>
      </w:r>
      <w:r>
        <w:rPr>
          <w:b/>
        </w:rPr>
        <w:t>Jörg Freiherr FRANK VON FÜRSTENWERTH</w:t>
      </w:r>
    </w:p>
    <w:p w:rsidR="00E97E0E" w:rsidRDefault="00E97E0E" w:rsidP="0015678B">
      <w:pPr>
        <w:sectPr w:rsidR="00E97E0E" w:rsidSect="009A7239">
          <w:footerReference w:type="default" r:id="rId9"/>
          <w:pgSz w:w="11907" w:h="16839" w:code="9"/>
          <w:pgMar w:top="1417" w:right="1417" w:bottom="1417" w:left="1417" w:header="709" w:footer="709" w:gutter="0"/>
          <w:pgNumType w:start="1"/>
          <w:cols w:space="720"/>
          <w:docGrid w:linePitch="299"/>
        </w:sectPr>
      </w:pPr>
    </w:p>
    <w:tbl>
      <w:tblPr>
        <w:tblW w:w="0" w:type="auto"/>
        <w:tblLook w:val="04A0" w:firstRow="1" w:lastRow="0" w:firstColumn="1" w:lastColumn="0" w:noHBand="0" w:noVBand="1"/>
      </w:tblPr>
      <w:tblGrid>
        <w:gridCol w:w="3055"/>
        <w:gridCol w:w="6018"/>
      </w:tblGrid>
      <w:tr w:rsidR="0011656A" w:rsidRPr="00FC35C5" w:rsidTr="00E670BD">
        <w:tc>
          <w:tcPr>
            <w:tcW w:w="3055" w:type="dxa"/>
          </w:tcPr>
          <w:p w:rsidR="0011656A" w:rsidRPr="00FC35C5" w:rsidRDefault="004A5738" w:rsidP="004A5738">
            <w:pPr>
              <w:jc w:val="left"/>
            </w:pPr>
            <w:r>
              <w:lastRenderedPageBreak/>
              <w:t>Žádost</w:t>
            </w:r>
            <w:r w:rsidR="00E010F5">
              <w:t xml:space="preserve"> o </w:t>
            </w:r>
            <w:r>
              <w:t>vypracování stanoviska</w:t>
            </w:r>
          </w:p>
        </w:tc>
        <w:tc>
          <w:tcPr>
            <w:tcW w:w="6018" w:type="dxa"/>
          </w:tcPr>
          <w:p w:rsidR="00E010F5" w:rsidRDefault="00E010F5" w:rsidP="00AE1808">
            <w:pPr>
              <w:jc w:val="left"/>
            </w:pPr>
          </w:p>
          <w:p w:rsidR="0011656A" w:rsidRPr="00FC35C5" w:rsidRDefault="00222006" w:rsidP="00AE1808">
            <w:pPr>
              <w:jc w:val="left"/>
            </w:pPr>
            <w:r>
              <w:t>Evropská komise, 11/11/2020</w:t>
            </w:r>
          </w:p>
        </w:tc>
      </w:tr>
      <w:tr w:rsidR="0016503F" w:rsidRPr="00FC35C5" w:rsidTr="00E670BD">
        <w:trPr>
          <w:trHeight w:val="251"/>
        </w:trPr>
        <w:tc>
          <w:tcPr>
            <w:tcW w:w="3055" w:type="dxa"/>
          </w:tcPr>
          <w:p w:rsidR="0016503F" w:rsidRPr="00FC35C5" w:rsidRDefault="0016503F" w:rsidP="0015678B">
            <w:pPr>
              <w:jc w:val="left"/>
            </w:pPr>
            <w:r>
              <w:t>Právní základ</w:t>
            </w:r>
          </w:p>
        </w:tc>
        <w:tc>
          <w:tcPr>
            <w:tcW w:w="6018" w:type="dxa"/>
          </w:tcPr>
          <w:p w:rsidR="0016503F" w:rsidRPr="00FC35C5" w:rsidRDefault="0016503F" w:rsidP="0015678B">
            <w:pPr>
              <w:jc w:val="left"/>
            </w:pPr>
            <w:r>
              <w:t>článek 304 Smlouvy</w:t>
            </w:r>
            <w:r w:rsidR="00E010F5">
              <w:t xml:space="preserve"> o </w:t>
            </w:r>
            <w:r>
              <w:t>fungování Evropské unie</w:t>
            </w:r>
          </w:p>
        </w:tc>
      </w:tr>
      <w:tr w:rsidR="0016503F" w:rsidRPr="00FC35C5" w:rsidTr="00E670BD">
        <w:trPr>
          <w:trHeight w:val="250"/>
        </w:trPr>
        <w:tc>
          <w:tcPr>
            <w:tcW w:w="3055" w:type="dxa"/>
          </w:tcPr>
          <w:p w:rsidR="0016503F" w:rsidRPr="00FC35C5" w:rsidRDefault="0016503F" w:rsidP="0015678B">
            <w:pPr>
              <w:jc w:val="left"/>
            </w:pPr>
          </w:p>
        </w:tc>
        <w:tc>
          <w:tcPr>
            <w:tcW w:w="6018" w:type="dxa"/>
          </w:tcPr>
          <w:p w:rsidR="0016503F" w:rsidRPr="00FC35C5" w:rsidRDefault="0016503F" w:rsidP="0015678B">
            <w:pPr>
              <w:jc w:val="left"/>
            </w:pPr>
          </w:p>
        </w:tc>
      </w:tr>
      <w:tr w:rsidR="00DF5B64" w:rsidRPr="00FC35C5" w:rsidTr="00E670BD">
        <w:tc>
          <w:tcPr>
            <w:tcW w:w="3055" w:type="dxa"/>
          </w:tcPr>
          <w:p w:rsidR="00DF5B64" w:rsidRPr="00FC35C5" w:rsidRDefault="00AD4B4F" w:rsidP="0015678B">
            <w:pPr>
              <w:jc w:val="left"/>
            </w:pPr>
            <w:r>
              <w:t>Odpovědná sekce</w:t>
            </w:r>
          </w:p>
        </w:tc>
        <w:tc>
          <w:tcPr>
            <w:tcW w:w="6018" w:type="dxa"/>
          </w:tcPr>
          <w:p w:rsidR="00DF5B64" w:rsidRPr="00FC35C5" w:rsidRDefault="00AA5798" w:rsidP="0015678B">
            <w:pPr>
              <w:jc w:val="left"/>
            </w:pPr>
            <w:r>
              <w:t>Hospodářská</w:t>
            </w:r>
            <w:r w:rsidR="00E010F5">
              <w:t xml:space="preserve"> a </w:t>
            </w:r>
            <w:r>
              <w:t>měnová unie, hospodářská</w:t>
            </w:r>
            <w:r w:rsidR="00E010F5">
              <w:t xml:space="preserve"> a </w:t>
            </w:r>
            <w:r>
              <w:t>sociální soudržnost</w:t>
            </w:r>
          </w:p>
        </w:tc>
      </w:tr>
      <w:tr w:rsidR="00A156E6" w:rsidRPr="00FC35C5" w:rsidTr="00E670BD">
        <w:tc>
          <w:tcPr>
            <w:tcW w:w="3055" w:type="dxa"/>
          </w:tcPr>
          <w:p w:rsidR="00A156E6" w:rsidRPr="00FC35C5" w:rsidRDefault="00A156E6" w:rsidP="0015678B">
            <w:pPr>
              <w:jc w:val="left"/>
            </w:pPr>
            <w:r>
              <w:t>Přijato</w:t>
            </w:r>
            <w:r w:rsidR="00E010F5">
              <w:t xml:space="preserve"> v </w:t>
            </w:r>
            <w:r>
              <w:t>sekci</w:t>
            </w:r>
          </w:p>
        </w:tc>
        <w:tc>
          <w:tcPr>
            <w:tcW w:w="6018" w:type="dxa"/>
          </w:tcPr>
          <w:p w:rsidR="00A156E6" w:rsidRPr="00FC35C5" w:rsidRDefault="00383C10" w:rsidP="0015678B">
            <w:pPr>
              <w:jc w:val="left"/>
            </w:pPr>
            <w:r>
              <w:t>12/02/2021</w:t>
            </w:r>
          </w:p>
        </w:tc>
      </w:tr>
      <w:tr w:rsidR="00A156E6" w:rsidRPr="00FC35C5" w:rsidTr="00E670BD">
        <w:tc>
          <w:tcPr>
            <w:tcW w:w="3055" w:type="dxa"/>
          </w:tcPr>
          <w:p w:rsidR="00A156E6" w:rsidRPr="00FC35C5" w:rsidRDefault="00A156E6" w:rsidP="0015678B">
            <w:pPr>
              <w:jc w:val="left"/>
            </w:pPr>
            <w:r>
              <w:t>Přijato na plenárním zasedání</w:t>
            </w:r>
          </w:p>
        </w:tc>
        <w:tc>
          <w:tcPr>
            <w:tcW w:w="6018" w:type="dxa"/>
          </w:tcPr>
          <w:p w:rsidR="00A156E6" w:rsidRPr="00FC35C5" w:rsidRDefault="00E97E0E">
            <w:pPr>
              <w:jc w:val="left"/>
            </w:pPr>
            <w:r>
              <w:t>24/02/2021</w:t>
            </w:r>
          </w:p>
        </w:tc>
      </w:tr>
      <w:tr w:rsidR="00BA1290" w:rsidRPr="00FC35C5" w:rsidTr="00E670BD">
        <w:tc>
          <w:tcPr>
            <w:tcW w:w="3055" w:type="dxa"/>
          </w:tcPr>
          <w:p w:rsidR="00BA1290" w:rsidRPr="00FC35C5" w:rsidRDefault="00BA1290" w:rsidP="0015678B">
            <w:pPr>
              <w:jc w:val="left"/>
            </w:pPr>
            <w:r>
              <w:t>Plenární zasedání č.</w:t>
            </w:r>
          </w:p>
        </w:tc>
        <w:tc>
          <w:tcPr>
            <w:tcW w:w="6018" w:type="dxa"/>
          </w:tcPr>
          <w:p w:rsidR="00BA1290" w:rsidRPr="00FC35C5" w:rsidRDefault="00B379C8" w:rsidP="0015678B">
            <w:pPr>
              <w:jc w:val="left"/>
            </w:pPr>
            <w:r>
              <w:t>558</w:t>
            </w:r>
          </w:p>
        </w:tc>
      </w:tr>
      <w:tr w:rsidR="00A156E6" w:rsidRPr="00FC35C5" w:rsidTr="00E670BD">
        <w:tc>
          <w:tcPr>
            <w:tcW w:w="3055" w:type="dxa"/>
          </w:tcPr>
          <w:p w:rsidR="00D423D4" w:rsidRPr="00FC35C5" w:rsidRDefault="00E010F5" w:rsidP="0015678B">
            <w:pPr>
              <w:jc w:val="left"/>
            </w:pPr>
            <w:r>
              <w:t>Výsledek hlasování</w:t>
            </w:r>
            <w:r w:rsidR="0043024C">
              <w:br/>
              <w:t>(pro/proti/zdrželi se hlasování)</w:t>
            </w:r>
          </w:p>
        </w:tc>
        <w:tc>
          <w:tcPr>
            <w:tcW w:w="6018" w:type="dxa"/>
            <w:vAlign w:val="bottom"/>
          </w:tcPr>
          <w:p w:rsidR="00A156E6" w:rsidRPr="00FC35C5" w:rsidRDefault="00B379C8" w:rsidP="0015678B">
            <w:pPr>
              <w:jc w:val="left"/>
            </w:pPr>
            <w:r>
              <w:t>237/0/5</w:t>
            </w:r>
          </w:p>
        </w:tc>
      </w:tr>
    </w:tbl>
    <w:p w:rsidR="0090053A" w:rsidRPr="00FC35C5" w:rsidRDefault="0090053A" w:rsidP="0015678B"/>
    <w:p w:rsidR="00646AC2" w:rsidRPr="00FC35C5" w:rsidRDefault="00646AC2" w:rsidP="0015678B">
      <w:r>
        <w:br w:type="page"/>
      </w:r>
    </w:p>
    <w:p w:rsidR="00011D33" w:rsidRPr="00FC35C5" w:rsidRDefault="00011D33" w:rsidP="0015678B">
      <w:pPr>
        <w:pStyle w:val="Heading1"/>
        <w:keepNext/>
        <w:rPr>
          <w:b/>
        </w:rPr>
      </w:pPr>
      <w:r>
        <w:rPr>
          <w:b/>
        </w:rPr>
        <w:lastRenderedPageBreak/>
        <w:t>Závěry</w:t>
      </w:r>
      <w:r w:rsidR="00E010F5">
        <w:rPr>
          <w:b/>
        </w:rPr>
        <w:t xml:space="preserve"> a </w:t>
      </w:r>
      <w:r>
        <w:rPr>
          <w:b/>
        </w:rPr>
        <w:t>doporučení</w:t>
      </w:r>
    </w:p>
    <w:p w:rsidR="00011D33" w:rsidRPr="00FC35C5" w:rsidRDefault="00011D33" w:rsidP="0015678B">
      <w:pPr>
        <w:keepNext/>
      </w:pPr>
    </w:p>
    <w:p w:rsidR="00D94CAF" w:rsidRPr="00FC35C5" w:rsidRDefault="00D94CAF" w:rsidP="00D94CAF">
      <w:pPr>
        <w:pStyle w:val="Heading2"/>
      </w:pPr>
      <w:r>
        <w:t>EHSV vítá balíček pro oblast digitálních financí, který přijala Komise. Domnívá se, že tento balíček obsahuje strategické legislativní</w:t>
      </w:r>
      <w:r w:rsidR="00E010F5">
        <w:t xml:space="preserve"> a </w:t>
      </w:r>
      <w:r>
        <w:t>nelegislativní prvky, jejichž účelem je rozvinout toto odvětví.</w:t>
      </w:r>
    </w:p>
    <w:p w:rsidR="00D94CAF" w:rsidRPr="00FC35C5" w:rsidRDefault="00D94CAF" w:rsidP="00D94CAF"/>
    <w:p w:rsidR="00D94CAF" w:rsidRPr="00FC35C5" w:rsidRDefault="00D94CAF" w:rsidP="00D94CAF">
      <w:pPr>
        <w:pStyle w:val="Heading2"/>
      </w:pPr>
      <w:r>
        <w:t>Program</w:t>
      </w:r>
      <w:r w:rsidR="00E010F5">
        <w:t xml:space="preserve"> o </w:t>
      </w:r>
      <w:r>
        <w:t>čtyřech prioritách, jejž Komise předložila,</w:t>
      </w:r>
      <w:r w:rsidR="00E010F5">
        <w:t xml:space="preserve"> v </w:t>
      </w:r>
      <w:r>
        <w:t>zásadě pokrývá veškeré důležité oblasti činnosti</w:t>
      </w:r>
      <w:r w:rsidR="00E010F5">
        <w:t xml:space="preserve"> v </w:t>
      </w:r>
      <w:r>
        <w:t>rámci digitální transformace finančního sektoru EU. EHSV podporuje přístup, který Komise uplatnila.</w:t>
      </w:r>
    </w:p>
    <w:p w:rsidR="00D94CAF" w:rsidRPr="00FC35C5" w:rsidRDefault="00D94CAF" w:rsidP="00D94CAF"/>
    <w:p w:rsidR="00D94CAF" w:rsidRPr="00FC35C5" w:rsidRDefault="00D94CAF" w:rsidP="00D94CAF">
      <w:pPr>
        <w:pStyle w:val="Heading2"/>
      </w:pPr>
      <w:r>
        <w:t>Komise zcela správně položila důraz na silné evropské účastníky trhu, co se týče zavádění digitálních finančních služeb. EHSV se však domnívá, že nesmí být opomenuta zvláštní úloha, kterou ve finančním sektoru plní specializovaní regionální a/nebo místní poskytovatelé družstevního či vzájemného charakteru.</w:t>
      </w:r>
    </w:p>
    <w:p w:rsidR="00D94CAF" w:rsidRPr="00FC35C5" w:rsidRDefault="00D94CAF" w:rsidP="00D94CAF"/>
    <w:p w:rsidR="00D94CAF" w:rsidRPr="00FC35C5" w:rsidRDefault="00FC35C5" w:rsidP="00D94CAF">
      <w:pPr>
        <w:pStyle w:val="Heading2"/>
      </w:pPr>
      <w:r>
        <w:t>V souvislosti</w:t>
      </w:r>
      <w:r w:rsidR="00E010F5">
        <w:t xml:space="preserve"> s </w:t>
      </w:r>
      <w:r>
        <w:t>digitalizací prochází finanční sektor</w:t>
      </w:r>
      <w:r w:rsidR="00E010F5">
        <w:t xml:space="preserve"> v </w:t>
      </w:r>
      <w:r>
        <w:t>EU obrovskými změnami – probíhá</w:t>
      </w:r>
      <w:r w:rsidR="00E010F5">
        <w:t xml:space="preserve"> v </w:t>
      </w:r>
      <w:r>
        <w:t>něm rozsáhlá restrukturalizace, jsou uzavírány místní pobočky, mění se odborná kvalifikace zaměstnanců</w:t>
      </w:r>
      <w:r w:rsidR="00E010F5">
        <w:t xml:space="preserve"> a </w:t>
      </w:r>
      <w:r>
        <w:t>objevují se zcela nové formy práce. Je nezbytné věnovat těmto zásadním výzvám pozornost, poněvadž způsobují značné potíže poskytovatelům služeb</w:t>
      </w:r>
      <w:r w:rsidR="00E010F5">
        <w:t xml:space="preserve"> a </w:t>
      </w:r>
      <w:r>
        <w:t>samozřejmě také zaměstnancům ve finančním sektoru.</w:t>
      </w:r>
    </w:p>
    <w:p w:rsidR="00D94CAF" w:rsidRPr="00FC35C5" w:rsidRDefault="00D94CAF" w:rsidP="00D94CAF"/>
    <w:p w:rsidR="00D94CAF" w:rsidRPr="00FC35C5" w:rsidRDefault="00D94CAF" w:rsidP="00D94CAF">
      <w:pPr>
        <w:pStyle w:val="Heading2"/>
      </w:pPr>
      <w:r>
        <w:t>Komise uvádí, že je nutné zabývat se možnostmi</w:t>
      </w:r>
      <w:r w:rsidR="00F20112">
        <w:t xml:space="preserve"> </w:t>
      </w:r>
      <w:r>
        <w:t>zřízení platformy EU pro digitální finance. EHSV</w:t>
      </w:r>
      <w:r w:rsidR="00E010F5">
        <w:t xml:space="preserve"> s </w:t>
      </w:r>
      <w:r>
        <w:t>tímto záměrem souhlasí</w:t>
      </w:r>
      <w:r w:rsidR="00E010F5">
        <w:t xml:space="preserve"> a </w:t>
      </w:r>
      <w:r>
        <w:t>doporučuje zapojit do tohoto procesu sociální partnery</w:t>
      </w:r>
      <w:r w:rsidR="00E010F5">
        <w:t xml:space="preserve"> a </w:t>
      </w:r>
      <w:r>
        <w:t>zástupce občanské společnosti.</w:t>
      </w:r>
    </w:p>
    <w:p w:rsidR="00D94CAF" w:rsidRPr="00FC35C5" w:rsidRDefault="00D94CAF" w:rsidP="00D94CAF"/>
    <w:p w:rsidR="00D94CAF" w:rsidRPr="00FC35C5" w:rsidRDefault="00D94CAF" w:rsidP="00D94CAF">
      <w:pPr>
        <w:pStyle w:val="Heading2"/>
      </w:pPr>
      <w:r>
        <w:t>EHSV je toho názoru, že při řešení problémů</w:t>
      </w:r>
      <w:r w:rsidR="00E010F5">
        <w:t xml:space="preserve"> a </w:t>
      </w:r>
      <w:r>
        <w:t>odstraňování rizik spojených</w:t>
      </w:r>
      <w:r w:rsidR="00E010F5">
        <w:t xml:space="preserve"> s </w:t>
      </w:r>
      <w:r>
        <w:t>digitální transformací je třeba zaměřit se především na regulaci poskytovatelů technologií, ochranu spotřebitelů, zajištění přístupu</w:t>
      </w:r>
      <w:r w:rsidR="00E010F5">
        <w:t xml:space="preserve"> k </w:t>
      </w:r>
      <w:r>
        <w:t>finančním službám, provozní odolnost</w:t>
      </w:r>
      <w:r w:rsidR="00E010F5">
        <w:t xml:space="preserve"> a </w:t>
      </w:r>
      <w:r>
        <w:t>bezpečnost sítí</w:t>
      </w:r>
      <w:r w:rsidR="00E010F5">
        <w:t xml:space="preserve"> a </w:t>
      </w:r>
      <w:r>
        <w:t>informačních systémů, aby bylo možné vytvořit jednotný digitální trh finančních služeb.</w:t>
      </w:r>
    </w:p>
    <w:p w:rsidR="00D94CAF" w:rsidRPr="00FC35C5" w:rsidRDefault="00D94CAF" w:rsidP="00D94CAF"/>
    <w:p w:rsidR="00E23A48" w:rsidRPr="00FC35C5" w:rsidRDefault="00D94CAF" w:rsidP="00E23A48">
      <w:pPr>
        <w:pStyle w:val="Heading2"/>
      </w:pPr>
      <w:r>
        <w:t>Co se týče kybernetické bezpečnosti, vítá EHSV projekt GAIA-X, jehož účelem je narušit dominantní postavení USA</w:t>
      </w:r>
      <w:r w:rsidR="00E010F5">
        <w:t xml:space="preserve"> a </w:t>
      </w:r>
      <w:r>
        <w:t>Číny</w:t>
      </w:r>
      <w:r w:rsidR="00E010F5">
        <w:t xml:space="preserve"> v </w:t>
      </w:r>
      <w:r>
        <w:t>odvětví cloudových služeb. Tento projekt, na němž se podílí také Evropská komise, má EU zajistit svrchovanost</w:t>
      </w:r>
      <w:r w:rsidR="00E010F5">
        <w:t xml:space="preserve"> v </w:t>
      </w:r>
      <w:r>
        <w:t>oblasti údajů nebo správu údajů vytvořením cloudové sítě se sídlem</w:t>
      </w:r>
      <w:r w:rsidR="00E010F5">
        <w:t xml:space="preserve"> v </w:t>
      </w:r>
      <w:r>
        <w:t>EU.</w:t>
      </w:r>
    </w:p>
    <w:p w:rsidR="00D94CAF" w:rsidRPr="00FC35C5" w:rsidRDefault="00D94CAF" w:rsidP="00D94CAF"/>
    <w:p w:rsidR="00D94CAF" w:rsidRPr="00FC35C5" w:rsidRDefault="00D94CAF" w:rsidP="00D94CAF">
      <w:pPr>
        <w:pStyle w:val="Heading2"/>
      </w:pPr>
      <w:r>
        <w:t>Skutečnost, že Komise prosazuje zásadu „stejná činnost, stejné riziko, stejná pravidla“, hraje stěžejní roli</w:t>
      </w:r>
      <w:r w:rsidR="00E010F5">
        <w:t xml:space="preserve"> a </w:t>
      </w:r>
      <w:r>
        <w:t>bude mít velký význam pro překonání nových výzev, včetně zajištění stejného dohledu. EHSV má za to, že je zvlášť důležité vytvořit rovn</w:t>
      </w:r>
      <w:r w:rsidR="00BE17FE">
        <w:t>é podmínky pro všechny finanční </w:t>
      </w:r>
      <w:r>
        <w:t>instituce.</w:t>
      </w:r>
    </w:p>
    <w:p w:rsidR="00546895" w:rsidRPr="00FC35C5" w:rsidRDefault="00546895" w:rsidP="0015678B"/>
    <w:p w:rsidR="00957781" w:rsidRPr="00FC35C5" w:rsidRDefault="00957781" w:rsidP="00E010F5">
      <w:pPr>
        <w:pStyle w:val="Heading1"/>
        <w:keepNext/>
        <w:keepLines/>
        <w:rPr>
          <w:b/>
        </w:rPr>
      </w:pPr>
      <w:r>
        <w:rPr>
          <w:b/>
        </w:rPr>
        <w:lastRenderedPageBreak/>
        <w:t>Návrhy Komise</w:t>
      </w:r>
    </w:p>
    <w:p w:rsidR="00957781" w:rsidRPr="00FC35C5" w:rsidRDefault="00957781" w:rsidP="00E010F5">
      <w:pPr>
        <w:keepNext/>
        <w:keepLines/>
      </w:pPr>
    </w:p>
    <w:p w:rsidR="001F1831" w:rsidRPr="00FC35C5" w:rsidRDefault="001F1831" w:rsidP="00E010F5">
      <w:pPr>
        <w:pStyle w:val="Heading2"/>
        <w:keepNext/>
        <w:keepLines/>
      </w:pPr>
      <w:r>
        <w:t>Dne 2</w:t>
      </w:r>
      <w:r w:rsidR="00E010F5">
        <w:t>4. </w:t>
      </w:r>
      <w:r>
        <w:t>září 2020 přijala Komise balíček pro oblast digitálních financí, který tvoří strategie</w:t>
      </w:r>
      <w:r w:rsidR="00E010F5">
        <w:t xml:space="preserve"> v </w:t>
      </w:r>
      <w:r>
        <w:t>oblasti digitálních financí</w:t>
      </w:r>
      <w:r w:rsidR="00A41F84" w:rsidRPr="00FC35C5">
        <w:rPr>
          <w:rStyle w:val="FootnoteReference"/>
        </w:rPr>
        <w:footnoteReference w:id="1"/>
      </w:r>
      <w:r>
        <w:t>, strategie pro malé platby</w:t>
      </w:r>
      <w:r w:rsidR="00A41F84" w:rsidRPr="00FC35C5">
        <w:rPr>
          <w:rStyle w:val="FootnoteReference"/>
        </w:rPr>
        <w:footnoteReference w:id="2"/>
      </w:r>
      <w:r>
        <w:t>, legislativní návrhy týkající se regulačního rámce EU pro kryptoaktiva</w:t>
      </w:r>
      <w:r w:rsidR="00A41F84" w:rsidRPr="00FC35C5">
        <w:rPr>
          <w:rStyle w:val="FootnoteReference"/>
        </w:rPr>
        <w:footnoteReference w:id="3"/>
      </w:r>
      <w:r w:rsidR="00E010F5">
        <w:t xml:space="preserve"> a </w:t>
      </w:r>
      <w:r>
        <w:t>související technologii sdíleného registru</w:t>
      </w:r>
      <w:r w:rsidR="005B5FEF" w:rsidRPr="00FC35C5">
        <w:rPr>
          <w:rStyle w:val="FootnoteReference"/>
        </w:rPr>
        <w:footnoteReference w:id="4"/>
      </w:r>
      <w:r w:rsidR="00E010F5">
        <w:t xml:space="preserve"> a </w:t>
      </w:r>
      <w:r>
        <w:t>návrhy týkající se regulačního rámce EU pro digitální provozní odolnost</w:t>
      </w:r>
      <w:r w:rsidR="00A41F84" w:rsidRPr="00FC35C5">
        <w:rPr>
          <w:rStyle w:val="FootnoteReference"/>
        </w:rPr>
        <w:footnoteReference w:id="5"/>
      </w:r>
      <w:r>
        <w:t xml:space="preserve">. </w:t>
      </w:r>
    </w:p>
    <w:p w:rsidR="001F1831" w:rsidRPr="00FC35C5" w:rsidRDefault="001F1831" w:rsidP="001F1831"/>
    <w:p w:rsidR="000B69F9" w:rsidRPr="00FC35C5" w:rsidRDefault="00957781" w:rsidP="000B69F9">
      <w:pPr>
        <w:pStyle w:val="Heading2"/>
      </w:pPr>
      <w:r>
        <w:t>Vzhledem ke zvlášť dynamickému rozvoji digitálních inovací, který urychlila krize způsobená onemocněním COVID-19, předkládá Komise</w:t>
      </w:r>
      <w:r w:rsidR="00F20112">
        <w:t xml:space="preserve"> </w:t>
      </w:r>
      <w:r>
        <w:t>strategii,</w:t>
      </w:r>
      <w:r w:rsidR="00E010F5">
        <w:t xml:space="preserve"> v </w:t>
      </w:r>
      <w:r>
        <w:t>níž stanovi</w:t>
      </w:r>
      <w:r w:rsidR="00E010F5">
        <w:t>la jeden strategický cíl, čtyři </w:t>
      </w:r>
      <w:r>
        <w:t>priority</w:t>
      </w:r>
      <w:r w:rsidR="00E010F5">
        <w:t xml:space="preserve"> a </w:t>
      </w:r>
      <w:r>
        <w:t>související opatření</w:t>
      </w:r>
      <w:r w:rsidR="00E010F5">
        <w:t xml:space="preserve"> v </w:t>
      </w:r>
      <w:r>
        <w:t>oblasti digitálních financí. Tato strategie je předmětem tohoto stanoviska EHSV.</w:t>
      </w:r>
    </w:p>
    <w:p w:rsidR="000B69F9" w:rsidRPr="00FC35C5" w:rsidRDefault="000B69F9" w:rsidP="000B69F9">
      <w:pPr>
        <w:pStyle w:val="Heading2"/>
        <w:numPr>
          <w:ilvl w:val="0"/>
          <w:numId w:val="0"/>
        </w:numPr>
        <w:ind w:left="567"/>
      </w:pPr>
    </w:p>
    <w:p w:rsidR="00A41F84" w:rsidRPr="00FC35C5" w:rsidRDefault="000B69F9" w:rsidP="00E03B17">
      <w:pPr>
        <w:pStyle w:val="Heading2"/>
      </w:pPr>
      <w:r>
        <w:t>Strategickým cílem, který Komise formulovala, je využívat digitální finance ve prospěch spotřebitelů</w:t>
      </w:r>
      <w:r w:rsidR="00E010F5">
        <w:t xml:space="preserve"> a </w:t>
      </w:r>
      <w:r>
        <w:t>podniků. Vytyčila tyto čtyři priority: 1) odstranit roztříštěnost jednotného digitálního trhu finančních služeb,</w:t>
      </w:r>
      <w:r w:rsidR="00E010F5">
        <w:t xml:space="preserve"> a </w:t>
      </w:r>
      <w:r>
        <w:t>umožnit tak evropským spotřebitelům přístup</w:t>
      </w:r>
      <w:r w:rsidR="00E010F5">
        <w:t xml:space="preserve"> k </w:t>
      </w:r>
      <w:r>
        <w:t>přeshraničním službám</w:t>
      </w:r>
      <w:r w:rsidR="00E010F5">
        <w:t xml:space="preserve"> a </w:t>
      </w:r>
      <w:r>
        <w:t>pomoci evropským finančním podnikům rozšířit jejich digitální operace, 2) zajistit, aby regulační rámec EU usnadňoval digitální inovace, které budou</w:t>
      </w:r>
      <w:r w:rsidR="00E010F5">
        <w:t xml:space="preserve"> v </w:t>
      </w:r>
      <w:r>
        <w:t>zájmu spotřebitelů</w:t>
      </w:r>
      <w:r w:rsidR="00E010F5">
        <w:t xml:space="preserve"> a </w:t>
      </w:r>
      <w:r>
        <w:t>zefektivní trh, 3) vytvořit na základě evropské strategie pro data evropský prostor pro finanční data, který podpoří inovace založené na datech, včetně zlepšení přístupu</w:t>
      </w:r>
      <w:r w:rsidR="00E010F5">
        <w:t xml:space="preserve"> k </w:t>
      </w:r>
      <w:r>
        <w:t>datům</w:t>
      </w:r>
      <w:r w:rsidR="00E010F5">
        <w:t xml:space="preserve"> a </w:t>
      </w:r>
      <w:r>
        <w:t>jejich sdílení</w:t>
      </w:r>
      <w:r w:rsidR="00E010F5">
        <w:t xml:space="preserve"> v </w:t>
      </w:r>
      <w:r>
        <w:t>rámci finančního sektoru</w:t>
      </w:r>
      <w:r w:rsidR="00E010F5">
        <w:t xml:space="preserve"> a </w:t>
      </w:r>
      <w:r>
        <w:t>4) řešení nových výzev</w:t>
      </w:r>
      <w:r w:rsidR="00E010F5">
        <w:t xml:space="preserve"> a </w:t>
      </w:r>
      <w:r>
        <w:t>rizik spojených</w:t>
      </w:r>
      <w:r w:rsidR="00E010F5">
        <w:t xml:space="preserve"> s </w:t>
      </w:r>
      <w:r>
        <w:t>digitální transformací.</w:t>
      </w:r>
    </w:p>
    <w:p w:rsidR="00957781" w:rsidRPr="00FC35C5" w:rsidRDefault="00957781" w:rsidP="00957781"/>
    <w:p w:rsidR="00011D33" w:rsidRPr="00FC35C5" w:rsidRDefault="00011D33" w:rsidP="00B91EDD">
      <w:pPr>
        <w:pStyle w:val="Heading1"/>
        <w:keepNext/>
        <w:keepLines/>
        <w:rPr>
          <w:b/>
        </w:rPr>
      </w:pPr>
      <w:r>
        <w:rPr>
          <w:b/>
        </w:rPr>
        <w:t>Obecné</w:t>
      </w:r>
      <w:r w:rsidR="00E010F5">
        <w:rPr>
          <w:b/>
        </w:rPr>
        <w:t xml:space="preserve"> a </w:t>
      </w:r>
      <w:r>
        <w:rPr>
          <w:b/>
        </w:rPr>
        <w:t>konkrétní připomínky</w:t>
      </w:r>
    </w:p>
    <w:p w:rsidR="00957781" w:rsidRPr="00FC35C5" w:rsidRDefault="00957781" w:rsidP="00B91EDD">
      <w:pPr>
        <w:keepNext/>
        <w:keepLines/>
      </w:pPr>
    </w:p>
    <w:p w:rsidR="00957781" w:rsidRPr="00FC35C5" w:rsidRDefault="00957781" w:rsidP="00E03B17">
      <w:pPr>
        <w:pStyle w:val="Heading2"/>
      </w:pPr>
      <w:r>
        <w:t>Tím, že Komise hodlá vypracovat</w:t>
      </w:r>
      <w:r w:rsidR="00E010F5">
        <w:t xml:space="preserve"> a </w:t>
      </w:r>
      <w:r>
        <w:t>zavést</w:t>
      </w:r>
      <w:r w:rsidR="00E010F5">
        <w:t xml:space="preserve"> v </w:t>
      </w:r>
      <w:r>
        <w:t>Evropě novou strategii</w:t>
      </w:r>
      <w:r w:rsidR="00E010F5">
        <w:t xml:space="preserve"> v </w:t>
      </w:r>
      <w:r>
        <w:t>oblasti digitálních financí (v rámci svého balíčku pro digitální finance), potvrzuje velký význam digitalizace finančního sektoru (digitálních finančních služeb), který vyšel zvlášť jasně najevo během krize způsobené onemocněním COVID-1</w:t>
      </w:r>
      <w:r w:rsidR="00E010F5">
        <w:t>9. </w:t>
      </w:r>
      <w:r>
        <w:t>Program</w:t>
      </w:r>
      <w:r w:rsidR="00E010F5">
        <w:t xml:space="preserve"> o </w:t>
      </w:r>
      <w:r>
        <w:t>čtyřech prioritách, jejž Komise předložila,</w:t>
      </w:r>
      <w:r w:rsidR="00E010F5">
        <w:t xml:space="preserve"> v </w:t>
      </w:r>
      <w:r>
        <w:t>zásadě pokrývá veškeré důležité oblasti činnosti</w:t>
      </w:r>
      <w:r w:rsidR="00E010F5">
        <w:t xml:space="preserve"> v </w:t>
      </w:r>
      <w:r>
        <w:t>rámci digitální transformace finančního sektoru EU. EHSV podporuje přístup, který Komise uplatnila.</w:t>
      </w:r>
    </w:p>
    <w:p w:rsidR="00957781" w:rsidRPr="00FC35C5" w:rsidRDefault="00957781" w:rsidP="00E03B17">
      <w:pPr>
        <w:pStyle w:val="Heading2"/>
        <w:numPr>
          <w:ilvl w:val="0"/>
          <w:numId w:val="0"/>
        </w:numPr>
      </w:pPr>
    </w:p>
    <w:p w:rsidR="00D94CAF" w:rsidRPr="00FC35C5" w:rsidRDefault="00957781" w:rsidP="00D94CAF">
      <w:pPr>
        <w:pStyle w:val="Heading2"/>
      </w:pPr>
      <w:r>
        <w:t>Komise zcela správně položila důraz na silné evropské účastníky trhu, co se týče zavádění digitálních finančních služeb. EHSV se však domnívá, že musí být zohledněna zvláštní úloha, kterou ve finančním sektoru plní specializovaní regionální poskytovatelé a/nebo poskytovatelé družstevního či vzájemného charakteru. Rozmanitost finančního sektoru totiž pomáhá uspokojit specifické potřeby spotřebitelů</w:t>
      </w:r>
      <w:r w:rsidR="00E010F5">
        <w:t xml:space="preserve"> a </w:t>
      </w:r>
      <w:r>
        <w:t>malých</w:t>
      </w:r>
      <w:r w:rsidR="00E010F5">
        <w:t xml:space="preserve"> a </w:t>
      </w:r>
      <w:r>
        <w:t>středních podniků</w:t>
      </w:r>
      <w:r w:rsidR="00E010F5">
        <w:t xml:space="preserve"> a </w:t>
      </w:r>
      <w:r w:rsidR="00BE17FE">
        <w:t>zajistit konkurenční trhy. EHSV </w:t>
      </w:r>
      <w:r>
        <w:t>Komisi vybízí, aby usilovala</w:t>
      </w:r>
      <w:r w:rsidR="00E010F5">
        <w:t xml:space="preserve"> o </w:t>
      </w:r>
      <w:r>
        <w:t>zachování proporcionality, co se týče povahy, rozsahu</w:t>
      </w:r>
      <w:r w:rsidR="00E010F5">
        <w:t xml:space="preserve"> a </w:t>
      </w:r>
      <w:r>
        <w:t>složitosti finančních institucí</w:t>
      </w:r>
      <w:r w:rsidR="00E010F5">
        <w:t xml:space="preserve"> a </w:t>
      </w:r>
      <w:r>
        <w:t>jejich produktů.</w:t>
      </w:r>
    </w:p>
    <w:p w:rsidR="00957781" w:rsidRPr="00FC35C5" w:rsidRDefault="00957781" w:rsidP="00957781">
      <w:pPr>
        <w:pStyle w:val="Heading2"/>
        <w:numPr>
          <w:ilvl w:val="0"/>
          <w:numId w:val="0"/>
        </w:numPr>
        <w:ind w:left="567"/>
      </w:pPr>
    </w:p>
    <w:p w:rsidR="0042223E" w:rsidRPr="00FC35C5" w:rsidRDefault="00957781" w:rsidP="0012584B">
      <w:pPr>
        <w:pStyle w:val="Heading2"/>
      </w:pPr>
      <w:r>
        <w:lastRenderedPageBreak/>
        <w:t>Sdělení Komise má mimořádně technický charakter. Opomíjí však jeden aspekt:</w:t>
      </w:r>
      <w:r w:rsidR="00E010F5">
        <w:t xml:space="preserve"> V </w:t>
      </w:r>
      <w:r>
        <w:t>souvislosti</w:t>
      </w:r>
      <w:r w:rsidR="00E010F5">
        <w:t xml:space="preserve"> s </w:t>
      </w:r>
      <w:r>
        <w:t>digitalizací prochází finanční sektor</w:t>
      </w:r>
      <w:r w:rsidR="00E010F5">
        <w:t xml:space="preserve"> v </w:t>
      </w:r>
      <w:r>
        <w:t>EU obrovskými změnami. Probíhá</w:t>
      </w:r>
      <w:r w:rsidR="00E010F5">
        <w:t xml:space="preserve"> v </w:t>
      </w:r>
      <w:r>
        <w:t>něm rozsáhlá restrukturalizace, jsou uzavírány místní pobočky, mění se odborná kvalifikace zaměstnanců</w:t>
      </w:r>
      <w:r w:rsidR="00E010F5">
        <w:t xml:space="preserve"> a </w:t>
      </w:r>
      <w:r>
        <w:t>objevují se zcela nové formy práce. Je nezbytné věnovat těmto zásadním výzvám pozornost, poněvadž způsobují značné potíže poskytovatelům služeb</w:t>
      </w:r>
      <w:r w:rsidR="00E010F5">
        <w:t xml:space="preserve"> a </w:t>
      </w:r>
      <w:r>
        <w:t>samozřejmě také zaměstnancům ve finančním sektoru. EHSV se vyslovuje pro to, aby byl veden sociální dialog</w:t>
      </w:r>
      <w:r w:rsidR="00E010F5">
        <w:t xml:space="preserve"> s </w:t>
      </w:r>
      <w:r>
        <w:t>cílem nalézt řešení</w:t>
      </w:r>
      <w:r w:rsidR="00E010F5">
        <w:t xml:space="preserve"> v </w:t>
      </w:r>
      <w:r>
        <w:t>oblastech, které procházejí transformací.</w:t>
      </w:r>
    </w:p>
    <w:p w:rsidR="009A7434" w:rsidRPr="00FC35C5" w:rsidRDefault="009A7434" w:rsidP="009A7434"/>
    <w:p w:rsidR="0042223E" w:rsidRPr="00FC35C5" w:rsidRDefault="008D1CCD" w:rsidP="0042223E">
      <w:pPr>
        <w:pStyle w:val="Heading2"/>
      </w:pPr>
      <w:r>
        <w:t>Komise uvádí, že dobře fungující jednotný trh digitálních finančních služeb pomůže zlepšit přístup spotřebitelů</w:t>
      </w:r>
      <w:r w:rsidR="00E010F5">
        <w:t xml:space="preserve"> a </w:t>
      </w:r>
      <w:r>
        <w:t>retailových investorů</w:t>
      </w:r>
      <w:r w:rsidR="00E010F5">
        <w:t xml:space="preserve"> k </w:t>
      </w:r>
      <w:r>
        <w:t>finančním službám</w:t>
      </w:r>
      <w:r w:rsidR="00E010F5">
        <w:t xml:space="preserve"> v </w:t>
      </w:r>
      <w:r>
        <w:t>EU. EHSV její přístup podporuje. Má-li se snížit roztříštěnost jednotného digitálního trhu finančních služeb, pak je nutné zajistit, aby se trhy mohly rozvíjet.</w:t>
      </w:r>
    </w:p>
    <w:p w:rsidR="0042223E" w:rsidRPr="00FC35C5" w:rsidRDefault="0042223E" w:rsidP="0042223E">
      <w:pPr>
        <w:pStyle w:val="Heading2"/>
        <w:numPr>
          <w:ilvl w:val="0"/>
          <w:numId w:val="0"/>
        </w:numPr>
        <w:ind w:left="567"/>
      </w:pPr>
    </w:p>
    <w:p w:rsidR="00E905FC" w:rsidRPr="00FC35C5" w:rsidRDefault="00E905FC" w:rsidP="00E905FC">
      <w:pPr>
        <w:pStyle w:val="Heading2"/>
      </w:pPr>
      <w:r>
        <w:t>Komise uvádí, že je nutné zabývat se možnostmi zřízení platformy EU pro digitální finance. EHSV</w:t>
      </w:r>
      <w:r w:rsidR="00E010F5">
        <w:t xml:space="preserve"> s </w:t>
      </w:r>
      <w:r>
        <w:t>tímto záměrem souhlasí</w:t>
      </w:r>
      <w:r w:rsidR="00E010F5">
        <w:t xml:space="preserve"> a </w:t>
      </w:r>
      <w:r>
        <w:t>doporučuje zapojit do tohoto procesu sociální partnery</w:t>
      </w:r>
      <w:r w:rsidR="00E010F5">
        <w:t xml:space="preserve"> a </w:t>
      </w:r>
      <w:r>
        <w:t>zástupce občanské společnosti.</w:t>
      </w:r>
    </w:p>
    <w:p w:rsidR="00E905FC" w:rsidRPr="00FC35C5" w:rsidRDefault="00E905FC" w:rsidP="00E905FC"/>
    <w:p w:rsidR="0042223E" w:rsidRPr="00FC35C5" w:rsidRDefault="008D1CCD" w:rsidP="0042223E">
      <w:pPr>
        <w:pStyle w:val="Heading2"/>
      </w:pPr>
      <w:r>
        <w:t>Ze zkušeností</w:t>
      </w:r>
      <w:r w:rsidR="00E010F5">
        <w:t xml:space="preserve"> z </w:t>
      </w:r>
      <w:r>
        <w:t>praxe vyplývá, že jednotný trh digitálních finančních služeb bude fungovat pouze tehdy, budou-li mít noví zákazníci rychlý</w:t>
      </w:r>
      <w:r w:rsidR="00E010F5">
        <w:t xml:space="preserve"> a </w:t>
      </w:r>
      <w:r>
        <w:t>snadný přístup</w:t>
      </w:r>
      <w:r w:rsidR="00E010F5">
        <w:t xml:space="preserve"> k finančním službám (tzv. </w:t>
      </w:r>
      <w:r>
        <w:rPr>
          <w:i/>
          <w:iCs/>
        </w:rPr>
        <w:t>onboarding</w:t>
      </w:r>
      <w:r>
        <w:t>). EHSV registruje zásadní problém</w:t>
      </w:r>
      <w:r w:rsidR="00E010F5">
        <w:t xml:space="preserve"> v </w:t>
      </w:r>
      <w:r>
        <w:t>oblastech, které Komise zdůraznila.</w:t>
      </w:r>
    </w:p>
    <w:p w:rsidR="0042223E" w:rsidRPr="00FC35C5" w:rsidRDefault="0042223E" w:rsidP="0042223E">
      <w:pPr>
        <w:pStyle w:val="Heading2"/>
        <w:numPr>
          <w:ilvl w:val="0"/>
          <w:numId w:val="0"/>
        </w:numPr>
        <w:ind w:left="567"/>
      </w:pPr>
    </w:p>
    <w:p w:rsidR="00407C5A" w:rsidRDefault="0042223E" w:rsidP="00407C5A">
      <w:pPr>
        <w:pStyle w:val="Heading2"/>
      </w:pPr>
      <w:r>
        <w:t>Skutečnost, že členské státy neuplatňují jednotná pravidla</w:t>
      </w:r>
      <w:r w:rsidR="00E010F5">
        <w:t xml:space="preserve"> v </w:t>
      </w:r>
      <w:r>
        <w:t>oblasti boje proti praní peněz, výrazně ztěžuje, ba dokonce znemožňuje přeshraniční využívání digitálních identit. Je třeba harmonizovat</w:t>
      </w:r>
      <w:r w:rsidR="00E010F5">
        <w:t xml:space="preserve"> v </w:t>
      </w:r>
      <w:r>
        <w:t>EU pravidla pro identifikaci zákazníků. EHSV proto doporučuje, aby byla</w:t>
      </w:r>
      <w:r w:rsidR="00E010F5">
        <w:t xml:space="preserve"> v </w:t>
      </w:r>
      <w:r>
        <w:t>celoevropském měřítku zajištěna právní interoperabilita digitálních identit.</w:t>
      </w:r>
    </w:p>
    <w:p w:rsidR="00407C5A" w:rsidRPr="00407C5A" w:rsidRDefault="00407C5A" w:rsidP="00407C5A"/>
    <w:p w:rsidR="00CC743D" w:rsidRDefault="00CC743D" w:rsidP="00796EA0">
      <w:pPr>
        <w:pStyle w:val="Heading2"/>
      </w:pPr>
      <w:r>
        <w:t>Při přípravě strategie EU</w:t>
      </w:r>
      <w:r w:rsidR="00E010F5">
        <w:t xml:space="preserve"> v </w:t>
      </w:r>
      <w:r>
        <w:t>oblasti digitálních financí nesmí být opomenuta bezpečnost občanů. Je třeba doporučit</w:t>
      </w:r>
      <w:r w:rsidR="00E010F5">
        <w:t xml:space="preserve"> v </w:t>
      </w:r>
      <w:r>
        <w:t>této strategii členským státům, aby souběžně</w:t>
      </w:r>
      <w:r w:rsidR="00E010F5">
        <w:t xml:space="preserve"> s </w:t>
      </w:r>
      <w:r>
        <w:t>prováděním strategie zavedly právní</w:t>
      </w:r>
      <w:r w:rsidR="00E010F5">
        <w:t xml:space="preserve"> a </w:t>
      </w:r>
      <w:r>
        <w:t>organizační opatření, která zamezí krádežím identity.</w:t>
      </w:r>
      <w:r w:rsidR="00E010F5">
        <w:t xml:space="preserve"> S </w:t>
      </w:r>
      <w:r>
        <w:t>rozvojem digitálních služeb</w:t>
      </w:r>
      <w:r w:rsidR="00E010F5">
        <w:t xml:space="preserve"> a </w:t>
      </w:r>
      <w:r>
        <w:t>produktů se tento problém vyskytuje stále častěji</w:t>
      </w:r>
      <w:r w:rsidR="00E010F5">
        <w:t xml:space="preserve"> a </w:t>
      </w:r>
      <w:r>
        <w:t>může komplikovat provádění strategie, nebudou-li podniknuty žádné kroky.</w:t>
      </w:r>
    </w:p>
    <w:p w:rsidR="001F2261" w:rsidRPr="00FC35C5" w:rsidRDefault="001F2261" w:rsidP="001F2261">
      <w:pPr>
        <w:pStyle w:val="Heading2"/>
        <w:numPr>
          <w:ilvl w:val="0"/>
          <w:numId w:val="0"/>
        </w:numPr>
        <w:ind w:left="567"/>
      </w:pPr>
    </w:p>
    <w:p w:rsidR="001F2261" w:rsidRPr="00FC35C5" w:rsidRDefault="008D1CCD" w:rsidP="00D94CAF">
      <w:pPr>
        <w:pStyle w:val="Heading2"/>
      </w:pPr>
      <w:r>
        <w:t>EHSV podporuje návrhy Komise, jejichž cílem je vytvořit pro finanční trhy rámec, který podpoří inovace</w:t>
      </w:r>
      <w:r w:rsidR="00E010F5">
        <w:t xml:space="preserve"> a </w:t>
      </w:r>
      <w:r>
        <w:t>konkurenceschopnost</w:t>
      </w:r>
      <w:r w:rsidR="00E010F5">
        <w:t xml:space="preserve"> a </w:t>
      </w:r>
      <w:r>
        <w:t>přinese užitek spotřebitelům</w:t>
      </w:r>
      <w:r w:rsidR="00E010F5">
        <w:t xml:space="preserve"> a </w:t>
      </w:r>
      <w:r>
        <w:t>tomuto odvětví. Při tom je ovšem nutné zaručit, aby se postupy dohledu</w:t>
      </w:r>
      <w:r w:rsidR="00E010F5">
        <w:t xml:space="preserve"> a </w:t>
      </w:r>
      <w:r>
        <w:t>právní předpisy EU</w:t>
      </w:r>
      <w:r w:rsidR="00E010F5">
        <w:t xml:space="preserve"> i </w:t>
      </w:r>
      <w:r>
        <w:t>nadále řídily hlavní zásadou technologické neutrality</w:t>
      </w:r>
      <w:r w:rsidR="00E010F5">
        <w:t xml:space="preserve"> a </w:t>
      </w:r>
      <w:r>
        <w:t>aby byly přezkoumány stávající dokumentační požadavky.</w:t>
      </w:r>
    </w:p>
    <w:p w:rsidR="00D63BD8" w:rsidRPr="00FC35C5" w:rsidRDefault="00D63BD8" w:rsidP="00D63BD8"/>
    <w:p w:rsidR="00D94CAF" w:rsidRPr="00FC35C5" w:rsidRDefault="005315EE" w:rsidP="00D94CAF">
      <w:pPr>
        <w:pStyle w:val="Heading2"/>
      </w:pPr>
      <w:r>
        <w:t>Na digitálním trhu však některé společnosti působící</w:t>
      </w:r>
      <w:r w:rsidR="00E010F5">
        <w:t xml:space="preserve"> v </w:t>
      </w:r>
      <w:r>
        <w:t>oboru finančních technologií nabízejí služby finančním společnostem, zatímco jiné jim konkurují. EHSV se domnívá, že by Komise měla při přípravě nových právních předpisů tyto aspekty zohlednit. EHSV proto doporučuje, aby se</w:t>
      </w:r>
      <w:r w:rsidR="00E010F5">
        <w:t xml:space="preserve"> v </w:t>
      </w:r>
      <w:r>
        <w:t>nových právních předpisech usilovalo především</w:t>
      </w:r>
      <w:r w:rsidR="00E010F5">
        <w:t xml:space="preserve"> o </w:t>
      </w:r>
      <w:r>
        <w:t>podporu partnerství mezi zavedenými finančními institucemi</w:t>
      </w:r>
      <w:r w:rsidR="00E010F5">
        <w:t xml:space="preserve"> a </w:t>
      </w:r>
      <w:r>
        <w:t>odvětvím finančních technologií. Není sice pochyb</w:t>
      </w:r>
      <w:r w:rsidR="00E010F5">
        <w:t xml:space="preserve"> o </w:t>
      </w:r>
      <w:r>
        <w:t>tom, že nejvýznamnějšími institucemi jsou banky, je však třeba zamezit tomu, aby byly</w:t>
      </w:r>
      <w:r w:rsidR="00E010F5">
        <w:t xml:space="preserve"> v </w:t>
      </w:r>
      <w:r>
        <w:t xml:space="preserve">právních předpisech jednoduše přebírány stejné požadavky, poněvadž by nemusely být uzpůsobeny všem druhům finančních služeb. Je třeba rozlišovat mezi produkty zaměřenými na zákazníka, které </w:t>
      </w:r>
      <w:r>
        <w:lastRenderedPageBreak/>
        <w:t>lze považovat za komodity,</w:t>
      </w:r>
      <w:r w:rsidR="00E010F5">
        <w:t xml:space="preserve"> a </w:t>
      </w:r>
      <w:r>
        <w:t>komplexnějšími produkty,</w:t>
      </w:r>
      <w:r w:rsidR="00E010F5">
        <w:t xml:space="preserve"> u </w:t>
      </w:r>
      <w:r>
        <w:t>nichž má zásadní význam rozsah</w:t>
      </w:r>
      <w:r w:rsidR="00E010F5">
        <w:t xml:space="preserve"> a </w:t>
      </w:r>
      <w:r>
        <w:t xml:space="preserve">poprodejní služby. </w:t>
      </w:r>
    </w:p>
    <w:p w:rsidR="003A70A1" w:rsidRPr="00FC35C5" w:rsidRDefault="003A70A1" w:rsidP="005A66B6"/>
    <w:p w:rsidR="00D94CAF" w:rsidRPr="00FC35C5" w:rsidRDefault="00D94CAF" w:rsidP="00D94CAF">
      <w:pPr>
        <w:pStyle w:val="Heading2"/>
      </w:pPr>
      <w:r>
        <w:t>EHSV se domnívá, že je nutné sdílet údaje</w:t>
      </w:r>
      <w:r w:rsidR="00E010F5">
        <w:t xml:space="preserve"> i v </w:t>
      </w:r>
      <w:r>
        <w:t>rámci jiných odvětví mimo finanční sektor,</w:t>
      </w:r>
      <w:r w:rsidR="00E010F5">
        <w:t xml:space="preserve"> a </w:t>
      </w:r>
      <w:r>
        <w:t>připomíná Komisi své doporučení</w:t>
      </w:r>
      <w:r w:rsidRPr="00FC35C5">
        <w:rPr>
          <w:rStyle w:val="FootnoteReference"/>
        </w:rPr>
        <w:footnoteReference w:id="6"/>
      </w:r>
      <w:r>
        <w:t>, které formuloval ve stanovisku ke sdělení Komise</w:t>
      </w:r>
      <w:r w:rsidR="00E010F5">
        <w:t xml:space="preserve"> s </w:t>
      </w:r>
      <w:r>
        <w:t>názvem Evropská strategie pro data. EHSV</w:t>
      </w:r>
      <w:r w:rsidR="00E010F5">
        <w:t xml:space="preserve"> v </w:t>
      </w:r>
      <w:r>
        <w:t>něm uvítal Komisí navrženou strategii pro data,</w:t>
      </w:r>
      <w:r w:rsidR="00E010F5">
        <w:t xml:space="preserve"> v </w:t>
      </w:r>
      <w:r>
        <w:t>níž bylo za prioritu označeno sdílení dat napříč odvětvími</w:t>
      </w:r>
      <w:r w:rsidR="00E010F5">
        <w:t xml:space="preserve"> a </w:t>
      </w:r>
      <w:r>
        <w:t>také zlepšení používání, sdílení</w:t>
      </w:r>
      <w:r w:rsidR="00E010F5">
        <w:t xml:space="preserve"> a </w:t>
      </w:r>
      <w:r>
        <w:t>správy dat</w:t>
      </w:r>
      <w:r w:rsidR="00E010F5">
        <w:t xml:space="preserve"> a </w:t>
      </w:r>
      <w:r>
        <w:t>přístupu</w:t>
      </w:r>
      <w:r w:rsidR="00E010F5">
        <w:t xml:space="preserve"> k </w:t>
      </w:r>
      <w:r>
        <w:t>nim pomocí legislativního odvětvového opatření. Dále</w:t>
      </w:r>
      <w:r w:rsidR="00E010F5">
        <w:t xml:space="preserve"> v </w:t>
      </w:r>
      <w:r>
        <w:t>něm zdůraznil, že by tento rámec měl být koncipován tak, aby kombinoval vysokou úroveň ochrany údajů, meziodvětvové</w:t>
      </w:r>
      <w:r w:rsidR="00E010F5">
        <w:t xml:space="preserve"> a </w:t>
      </w:r>
      <w:r>
        <w:t>odpovědné sdílení dat, jasná kritéria pro odvětvovou správu</w:t>
      </w:r>
      <w:r w:rsidR="00E010F5">
        <w:t xml:space="preserve"> a </w:t>
      </w:r>
      <w:r>
        <w:t>kvalitu údajů</w:t>
      </w:r>
      <w:r w:rsidR="00E010F5">
        <w:t xml:space="preserve"> a </w:t>
      </w:r>
      <w:r>
        <w:t>větší kontrolu nad údaji ze strany jednotlivců. Je nezbytné zaručit, aby dceřiné společnosti poskytující platební služby, které jsou součástí velkého koncernu technologických společností, neposkytovaly získané údaje svým mateřským společnostem</w:t>
      </w:r>
      <w:r w:rsidR="00E010F5">
        <w:t xml:space="preserve"> a </w:t>
      </w:r>
      <w:r>
        <w:t>neslučovaly je</w:t>
      </w:r>
      <w:r w:rsidR="00E010F5">
        <w:t xml:space="preserve"> s </w:t>
      </w:r>
      <w:r>
        <w:t>jejich údaji. Za tímto účelem je nutné vytvořit mezi dceřinými společnostmi poskytujícími platební služby</w:t>
      </w:r>
      <w:r w:rsidR="00E010F5">
        <w:t xml:space="preserve"> a </w:t>
      </w:r>
      <w:r>
        <w:t>mateřskými společnostmi ochrannou bariéru.</w:t>
      </w:r>
    </w:p>
    <w:p w:rsidR="001F2261" w:rsidRPr="00FC35C5" w:rsidRDefault="001F2261" w:rsidP="005A66B6">
      <w:pPr>
        <w:pStyle w:val="Heading2"/>
        <w:numPr>
          <w:ilvl w:val="0"/>
          <w:numId w:val="0"/>
        </w:numPr>
        <w:ind w:left="567"/>
      </w:pPr>
    </w:p>
    <w:p w:rsidR="001F2261" w:rsidRPr="00FC35C5" w:rsidRDefault="008D1CCD" w:rsidP="001F2261">
      <w:pPr>
        <w:pStyle w:val="Heading2"/>
      </w:pPr>
      <w:r>
        <w:t>EHSV je toho názoru, že při řešení problémů</w:t>
      </w:r>
      <w:r w:rsidR="00E010F5">
        <w:t xml:space="preserve"> a </w:t>
      </w:r>
      <w:r>
        <w:t>odstraňování rizik spojených</w:t>
      </w:r>
      <w:r w:rsidR="00E010F5">
        <w:t xml:space="preserve"> s </w:t>
      </w:r>
      <w:r>
        <w:t>digitální transformací je třeba zaměřit se především na regulaci poskytovatelů technologií, ochranu spotřebitelů, zajištění přístupu</w:t>
      </w:r>
      <w:r w:rsidR="00E010F5">
        <w:t xml:space="preserve"> k </w:t>
      </w:r>
      <w:r>
        <w:t>finančním službám, provozní odolnost</w:t>
      </w:r>
      <w:r w:rsidR="00E010F5">
        <w:t xml:space="preserve"> a </w:t>
      </w:r>
      <w:r>
        <w:t>bezpečnost sítí</w:t>
      </w:r>
      <w:r w:rsidR="00E010F5">
        <w:t xml:space="preserve"> a </w:t>
      </w:r>
      <w:r>
        <w:t>informačních systémů, aby bylo možné vytvořit jednotný digitální trh finančních služeb.</w:t>
      </w:r>
    </w:p>
    <w:p w:rsidR="008938B5" w:rsidRPr="00FC35C5" w:rsidRDefault="008938B5" w:rsidP="008938B5"/>
    <w:p w:rsidR="008938B5" w:rsidRPr="00796EA0" w:rsidRDefault="008938B5">
      <w:pPr>
        <w:pStyle w:val="Heading2"/>
        <w:rPr>
          <w:rFonts w:eastAsiaTheme="minorHAnsi"/>
        </w:rPr>
      </w:pPr>
      <w:r>
        <w:t>Co se týče kybernetické bezpečnosti, poukazuje EHSV na to, že většina evropských systémově významných finančních institucí využívá služby</w:t>
      </w:r>
      <w:r w:rsidR="00E010F5">
        <w:t xml:space="preserve"> v </w:t>
      </w:r>
      <w:r>
        <w:t>oblasti finančních technologií, které poskytují společnosti ze zemí mimo EU.</w:t>
      </w:r>
      <w:r w:rsidR="00E010F5">
        <w:t xml:space="preserve"> V </w:t>
      </w:r>
      <w:r>
        <w:t>některých situacích se může stát, že Komisí navržená legislativní iniciativa týkající se digitální provozní odolnosti (DORA)</w:t>
      </w:r>
      <w:r w:rsidR="00D94CAF" w:rsidRPr="00E010F5">
        <w:rPr>
          <w:rStyle w:val="FootnoteReference"/>
          <w:szCs w:val="24"/>
        </w:rPr>
        <w:footnoteReference w:id="7"/>
      </w:r>
      <w:r>
        <w:t xml:space="preserve"> bude nedostačující. EHSV tudíž vítá projekt GAIA-X, jehož účelem je narušit dominantní postavení USA</w:t>
      </w:r>
      <w:r w:rsidR="00E010F5">
        <w:t xml:space="preserve"> a </w:t>
      </w:r>
      <w:r>
        <w:t>Číny</w:t>
      </w:r>
      <w:r w:rsidR="00E010F5">
        <w:t xml:space="preserve"> v </w:t>
      </w:r>
      <w:r>
        <w:t>odvětví cloudových služeb. Tento projekt, na němž se podílí také Evropská komise, má EU zajistit svrchovanost</w:t>
      </w:r>
      <w:r w:rsidR="00E010F5">
        <w:t xml:space="preserve"> v </w:t>
      </w:r>
      <w:r>
        <w:t>oblasti údajů nebo správu údajů vytvořením cloudové sítě se sídlem</w:t>
      </w:r>
      <w:r w:rsidR="00E010F5">
        <w:t xml:space="preserve"> v </w:t>
      </w:r>
      <w:r>
        <w:t>EU. Vzhledem</w:t>
      </w:r>
      <w:r w:rsidR="00E010F5">
        <w:t xml:space="preserve"> k </w:t>
      </w:r>
      <w:r>
        <w:t>tomu, že jsme stále častěji nuceni využívat digitálních služeb, je</w:t>
      </w:r>
      <w:r w:rsidR="00E010F5">
        <w:t xml:space="preserve"> v </w:t>
      </w:r>
      <w:r>
        <w:t>zájmu subjektů</w:t>
      </w:r>
      <w:r w:rsidR="00E010F5">
        <w:t xml:space="preserve"> v </w:t>
      </w:r>
      <w:r>
        <w:t>EU, aby získaly nezávislost na externích poskytovatelích cloudových služeb. Pro EU je pak důležité, aby posílila svou ekonomickou</w:t>
      </w:r>
      <w:r w:rsidR="00E010F5">
        <w:t xml:space="preserve"> a </w:t>
      </w:r>
      <w:r>
        <w:t xml:space="preserve">politickou svrchovanost. Tato evropská síť by rovněž usnadnila tok údajů mezi členskými státy. </w:t>
      </w:r>
    </w:p>
    <w:p w:rsidR="001F2261" w:rsidRPr="00FC35C5" w:rsidRDefault="001F2261" w:rsidP="001F2261">
      <w:pPr>
        <w:pStyle w:val="Heading2"/>
        <w:numPr>
          <w:ilvl w:val="0"/>
          <w:numId w:val="0"/>
        </w:numPr>
        <w:ind w:left="567"/>
      </w:pPr>
    </w:p>
    <w:p w:rsidR="001F2261" w:rsidRPr="00FC35C5" w:rsidRDefault="001F2261" w:rsidP="001F2261">
      <w:pPr>
        <w:pStyle w:val="Heading2"/>
      </w:pPr>
      <w:r>
        <w:t>Skutečnost, že Komise prosazuje zásadu „stejná činnost, stejné riziko, stejná pravidla“, hraje stěžejní roli</w:t>
      </w:r>
      <w:r w:rsidR="00E010F5">
        <w:t xml:space="preserve"> a </w:t>
      </w:r>
      <w:r>
        <w:t>bude mít velký význam pro překonání nových výzev, včetně zajištění stejného dohledu. Vzhledem</w:t>
      </w:r>
      <w:r w:rsidR="00E010F5">
        <w:t xml:space="preserve"> k </w:t>
      </w:r>
      <w:r>
        <w:t>tomu, že do finančního sektoru ve stále větší míře pronikají velké</w:t>
      </w:r>
      <w:r w:rsidR="00E010F5">
        <w:t xml:space="preserve"> i </w:t>
      </w:r>
      <w:r>
        <w:t>menší technologické společnosti</w:t>
      </w:r>
      <w:r w:rsidR="00E010F5">
        <w:t xml:space="preserve"> a </w:t>
      </w:r>
      <w:r>
        <w:t>platformy</w:t>
      </w:r>
      <w:r w:rsidR="00E010F5">
        <w:t xml:space="preserve"> a </w:t>
      </w:r>
      <w:r>
        <w:t>že</w:t>
      </w:r>
      <w:r w:rsidR="00E010F5">
        <w:t xml:space="preserve"> v </w:t>
      </w:r>
      <w:r>
        <w:t>něm technologické společnosti vykonávají užitečnou činnost, pokládá EHSV za zvlášť důležité vytvořit rovné podmínky pro všechny účastníky trhu</w:t>
      </w:r>
      <w:r w:rsidR="00E010F5">
        <w:t xml:space="preserve"> v </w:t>
      </w:r>
      <w:r>
        <w:t>tomto odvětví.</w:t>
      </w:r>
    </w:p>
    <w:p w:rsidR="001F2261" w:rsidRPr="00FC35C5" w:rsidRDefault="001F2261" w:rsidP="001F2261">
      <w:pPr>
        <w:pStyle w:val="Heading2"/>
        <w:numPr>
          <w:ilvl w:val="0"/>
          <w:numId w:val="0"/>
        </w:numPr>
        <w:ind w:left="567"/>
      </w:pPr>
    </w:p>
    <w:p w:rsidR="00AA5798" w:rsidRPr="00FC35C5" w:rsidRDefault="001F2261" w:rsidP="00E010F5">
      <w:pPr>
        <w:pStyle w:val="Heading2"/>
        <w:keepNext/>
        <w:keepLines/>
      </w:pPr>
      <w:r>
        <w:lastRenderedPageBreak/>
        <w:t>Komise zvažuje možnost přípravy strategie, která umožní podpořit všeobecné finanční vzdělávání se zaměřením na digitalizaci</w:t>
      </w:r>
      <w:r w:rsidR="00E010F5">
        <w:t xml:space="preserve"> a </w:t>
      </w:r>
      <w:r>
        <w:t>investovat do něj. To by mohlo přinést jak větší otevřenost</w:t>
      </w:r>
      <w:r w:rsidR="00E010F5">
        <w:t xml:space="preserve"> v </w:t>
      </w:r>
      <w:r>
        <w:t>oblasti digitálních služeb, tak lepší oc</w:t>
      </w:r>
      <w:bookmarkStart w:id="0" w:name="_GoBack"/>
      <w:bookmarkEnd w:id="0"/>
      <w:r>
        <w:t>hranu spotřebitelů bez ohledu na věk, pohlaví či profesní postavení. EHSV Komisi vybízí, aby</w:t>
      </w:r>
      <w:r w:rsidR="00E010F5">
        <w:t xml:space="preserve"> v </w:t>
      </w:r>
      <w:r>
        <w:t>tomto úsilí pokračovala.</w:t>
      </w:r>
    </w:p>
    <w:p w:rsidR="00E5447A" w:rsidRDefault="00E5447A" w:rsidP="00690D84">
      <w:pPr>
        <w:keepNext/>
      </w:pPr>
    </w:p>
    <w:p w:rsidR="00E5447A" w:rsidRDefault="00E5447A" w:rsidP="00690D84">
      <w:pPr>
        <w:keepNext/>
      </w:pPr>
      <w:r>
        <w:t>V Bruselu dne 2</w:t>
      </w:r>
      <w:r w:rsidR="00E010F5">
        <w:t>4. </w:t>
      </w:r>
      <w:r>
        <w:t>února 2021</w:t>
      </w:r>
    </w:p>
    <w:p w:rsidR="00E5447A" w:rsidRDefault="00E5447A" w:rsidP="00690D84">
      <w:pPr>
        <w:keepNext/>
      </w:pPr>
    </w:p>
    <w:p w:rsidR="00E5447A" w:rsidRDefault="00E5447A" w:rsidP="00690D84">
      <w:pPr>
        <w:keepNext/>
      </w:pPr>
    </w:p>
    <w:p w:rsidR="00E5447A" w:rsidRDefault="00E5447A" w:rsidP="00690D84">
      <w:pPr>
        <w:keepNext/>
      </w:pPr>
    </w:p>
    <w:p w:rsidR="00E5447A" w:rsidRDefault="00E5447A" w:rsidP="00690D84">
      <w:pPr>
        <w:keepNext/>
      </w:pPr>
    </w:p>
    <w:p w:rsidR="00E5447A" w:rsidRDefault="00B379C8" w:rsidP="00690D84">
      <w:pPr>
        <w:keepNext/>
      </w:pPr>
      <w:r>
        <w:t>Christa SCHWENG</w:t>
      </w:r>
    </w:p>
    <w:p w:rsidR="00E5447A" w:rsidRPr="00FC35C5" w:rsidRDefault="00E5447A" w:rsidP="00690D84">
      <w:pPr>
        <w:keepNext/>
      </w:pPr>
      <w:r>
        <w:t>předsedkyně Evropského hospodářského</w:t>
      </w:r>
      <w:r w:rsidR="00E010F5">
        <w:t xml:space="preserve"> a </w:t>
      </w:r>
      <w:r>
        <w:t xml:space="preserve">sociálního výboru </w:t>
      </w:r>
    </w:p>
    <w:p w:rsidR="00B034E2" w:rsidRDefault="00B034E2" w:rsidP="00690D84">
      <w:pPr>
        <w:keepNext/>
        <w:jc w:val="center"/>
      </w:pPr>
    </w:p>
    <w:p w:rsidR="00E010F5" w:rsidRPr="00E010F5" w:rsidRDefault="00646AC2" w:rsidP="00E010F5">
      <w:pPr>
        <w:keepNext/>
        <w:jc w:val="center"/>
      </w:pPr>
      <w:r>
        <w:t>_____________</w:t>
      </w:r>
    </w:p>
    <w:sectPr w:rsidR="00E010F5" w:rsidRPr="00E010F5" w:rsidSect="009A7239">
      <w:headerReference w:type="even" r:id="rId10"/>
      <w:headerReference w:type="default" r:id="rId11"/>
      <w:footerReference w:type="even" r:id="rId12"/>
      <w:footerReference w:type="default" r:id="rId13"/>
      <w:headerReference w:type="first" r:id="rId14"/>
      <w:footerReference w:type="first" r:id="rId15"/>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553" w:rsidRDefault="00CD2553">
      <w:r>
        <w:separator/>
      </w:r>
    </w:p>
  </w:endnote>
  <w:endnote w:type="continuationSeparator" w:id="0">
    <w:p w:rsidR="00CD2553" w:rsidRDefault="00CD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DC6"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BE17FE">
      <w:rPr>
        <w:noProof/>
      </w:rPr>
      <w:t>1</w:t>
    </w:r>
    <w:r>
      <w:fldChar w:fldCharType="end"/>
    </w:r>
    <w:r>
      <w:t>/</w:t>
    </w:r>
    <w:fldSimple w:instr=" NUMPAGES ">
      <w:r w:rsidR="00BE17FE">
        <w:rPr>
          <w:noProof/>
        </w:rPr>
        <w:t>7</w:t>
      </w:r>
    </w:fldSimple>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9A7239" w:rsidP="009A7239">
    <w:pPr>
      <w:pStyle w:val="Footer"/>
    </w:pPr>
    <w:r>
      <w:t xml:space="preserve">ECO/534 – EESC-2020-04935-00-00-AC-TRA (EN) </w:t>
    </w:r>
    <w:r>
      <w:fldChar w:fldCharType="begin"/>
    </w:r>
    <w:r>
      <w:instrText xml:space="preserve"> PAGE  \* Arabic  \* MERGEFORMAT </w:instrText>
    </w:r>
    <w:r>
      <w:fldChar w:fldCharType="separate"/>
    </w:r>
    <w:r w:rsidR="00BE17FE">
      <w:rPr>
        <w:noProof/>
      </w:rPr>
      <w:t>7</w:t>
    </w:r>
    <w:r>
      <w:fldChar w:fldCharType="end"/>
    </w:r>
    <w:r>
      <w:t>/</w:t>
    </w:r>
    <w:fldSimple w:instr=" NUMPAGES ">
      <w:r w:rsidR="00BE17FE">
        <w:rPr>
          <w:noProof/>
        </w:rPr>
        <w:t>7</w:t>
      </w:r>
    </w:fldSimple>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553" w:rsidRDefault="00CD2553">
      <w:r>
        <w:separator/>
      </w:r>
    </w:p>
  </w:footnote>
  <w:footnote w:type="continuationSeparator" w:id="0">
    <w:p w:rsidR="00CD2553" w:rsidRDefault="00CD2553">
      <w:r>
        <w:continuationSeparator/>
      </w:r>
    </w:p>
  </w:footnote>
  <w:footnote w:id="1">
    <w:p w:rsidR="00E01608" w:rsidRPr="00E010F5"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1" w:history="1">
        <w:r>
          <w:rPr>
            <w:rStyle w:val="Hyperlink"/>
            <w:sz w:val="16"/>
            <w:szCs w:val="16"/>
          </w:rPr>
          <w:t>COM(2020) 591 final</w:t>
        </w:r>
      </w:hyperlink>
      <w:r w:rsidR="00E010F5">
        <w:rPr>
          <w:rStyle w:val="Hyperlink"/>
          <w:sz w:val="16"/>
          <w:szCs w:val="16"/>
          <w:u w:val="none"/>
        </w:rPr>
        <w:t>.</w:t>
      </w:r>
    </w:p>
  </w:footnote>
  <w:footnote w:id="2">
    <w:p w:rsidR="00A41F84" w:rsidRPr="00CD293B" w:rsidRDefault="00A41F84" w:rsidP="00E01608">
      <w:pPr>
        <w:pStyle w:val="NormalWeb"/>
        <w:shd w:val="clear" w:color="auto" w:fill="FFFFFF"/>
        <w:spacing w:before="0" w:beforeAutospacing="0" w:after="75" w:afterAutospacing="0"/>
        <w:ind w:left="567" w:hanging="567"/>
        <w:rPr>
          <w:color w:val="444444"/>
          <w:sz w:val="18"/>
          <w:szCs w:val="18"/>
        </w:rPr>
      </w:pPr>
      <w:r>
        <w:rPr>
          <w:rStyle w:val="FootnoteReference"/>
        </w:rPr>
        <w:footnoteRef/>
      </w:r>
      <w:r>
        <w:rPr>
          <w:sz w:val="18"/>
          <w:szCs w:val="18"/>
        </w:rPr>
        <w:tab/>
      </w:r>
      <w:hyperlink r:id="rId2" w:history="1">
        <w:r>
          <w:rPr>
            <w:rStyle w:val="Hyperlink"/>
            <w:sz w:val="16"/>
            <w:szCs w:val="16"/>
          </w:rPr>
          <w:t>COM(2020) 592 final</w:t>
        </w:r>
      </w:hyperlink>
      <w:r w:rsidR="00E010F5">
        <w:rPr>
          <w:rStyle w:val="Hyperlink"/>
          <w:sz w:val="16"/>
          <w:szCs w:val="16"/>
          <w:u w:val="none"/>
        </w:rPr>
        <w:t>.</w:t>
      </w:r>
    </w:p>
  </w:footnote>
  <w:footnote w:id="3">
    <w:p w:rsidR="00A41F84" w:rsidRPr="00690D84" w:rsidRDefault="00A41F84" w:rsidP="00796EA0">
      <w:pPr>
        <w:pStyle w:val="NormalWeb"/>
        <w:shd w:val="clear" w:color="auto" w:fill="FFFFFF"/>
        <w:tabs>
          <w:tab w:val="left" w:pos="720"/>
          <w:tab w:val="left" w:pos="1440"/>
          <w:tab w:val="left" w:pos="2160"/>
          <w:tab w:val="left" w:pos="4013"/>
        </w:tabs>
        <w:spacing w:before="0" w:beforeAutospacing="0" w:after="75" w:afterAutospacing="0"/>
        <w:ind w:left="567" w:hanging="567"/>
        <w:rPr>
          <w:color w:val="444444"/>
          <w:sz w:val="18"/>
          <w:szCs w:val="18"/>
        </w:rPr>
      </w:pPr>
      <w:r w:rsidRPr="00E010F5">
        <w:rPr>
          <w:rStyle w:val="FootnoteReference"/>
        </w:rPr>
        <w:footnoteRef/>
      </w:r>
      <w:r>
        <w:rPr>
          <w:sz w:val="18"/>
          <w:szCs w:val="18"/>
        </w:rPr>
        <w:tab/>
      </w:r>
      <w:hyperlink r:id="rId3" w:history="1">
        <w:r>
          <w:rPr>
            <w:rStyle w:val="Hyperlink"/>
            <w:sz w:val="16"/>
            <w:szCs w:val="16"/>
          </w:rPr>
          <w:t>COM(2020) 593 final</w:t>
        </w:r>
      </w:hyperlink>
      <w:r w:rsidR="00E010F5">
        <w:rPr>
          <w:rStyle w:val="Hyperlink"/>
          <w:sz w:val="16"/>
          <w:szCs w:val="16"/>
          <w:u w:val="none"/>
        </w:rPr>
        <w:t>.</w:t>
      </w:r>
    </w:p>
  </w:footnote>
  <w:footnote w:id="4">
    <w:p w:rsidR="009A7434" w:rsidRPr="00690D84" w:rsidRDefault="005B5FEF">
      <w:pPr>
        <w:pStyle w:val="FootnoteText"/>
        <w:rPr>
          <w:color w:val="444444"/>
          <w:sz w:val="18"/>
          <w:szCs w:val="18"/>
        </w:rPr>
      </w:pPr>
      <w:r w:rsidRPr="00E010F5">
        <w:rPr>
          <w:rStyle w:val="FootnoteReference"/>
          <w:szCs w:val="24"/>
        </w:rPr>
        <w:footnoteRef/>
      </w:r>
      <w:r>
        <w:rPr>
          <w:sz w:val="18"/>
          <w:szCs w:val="18"/>
        </w:rPr>
        <w:tab/>
      </w:r>
      <w:hyperlink r:id="rId4" w:history="1">
        <w:r>
          <w:rPr>
            <w:rStyle w:val="Hyperlink"/>
          </w:rPr>
          <w:t>COM(2020) 594 final</w:t>
        </w:r>
      </w:hyperlink>
      <w:r w:rsidR="00E010F5">
        <w:rPr>
          <w:rStyle w:val="Hyperlink"/>
          <w:szCs w:val="16"/>
          <w:u w:val="none"/>
        </w:rPr>
        <w:t>.</w:t>
      </w:r>
    </w:p>
  </w:footnote>
  <w:footnote w:id="5">
    <w:p w:rsidR="00A41F84" w:rsidRPr="00CD293B" w:rsidRDefault="00A41F84" w:rsidP="00E01608">
      <w:pPr>
        <w:pStyle w:val="NormalWeb"/>
        <w:shd w:val="clear" w:color="auto" w:fill="FFFFFF"/>
        <w:spacing w:before="0" w:beforeAutospacing="0" w:after="75" w:afterAutospacing="0"/>
        <w:ind w:left="567" w:hanging="567"/>
        <w:rPr>
          <w:color w:val="444444"/>
          <w:sz w:val="16"/>
          <w:szCs w:val="16"/>
        </w:rPr>
      </w:pPr>
      <w:r w:rsidRPr="00E010F5">
        <w:rPr>
          <w:rStyle w:val="FootnoteReference"/>
        </w:rPr>
        <w:footnoteRef/>
      </w:r>
      <w:r>
        <w:rPr>
          <w:sz w:val="18"/>
          <w:szCs w:val="18"/>
        </w:rPr>
        <w:tab/>
      </w:r>
      <w:hyperlink r:id="rId5" w:history="1">
        <w:r>
          <w:rPr>
            <w:rStyle w:val="Hyperlink"/>
            <w:sz w:val="16"/>
            <w:szCs w:val="16"/>
          </w:rPr>
          <w:t>COM(2020) 595 final</w:t>
        </w:r>
      </w:hyperlink>
      <w:r w:rsidR="00E010F5">
        <w:rPr>
          <w:sz w:val="16"/>
          <w:szCs w:val="16"/>
        </w:rPr>
        <w:t xml:space="preserve"> a </w:t>
      </w:r>
      <w:hyperlink r:id="rId6" w:history="1">
        <w:r>
          <w:rPr>
            <w:rStyle w:val="Hyperlink"/>
            <w:sz w:val="16"/>
            <w:szCs w:val="16"/>
          </w:rPr>
          <w:t>COM(2020) 596 final</w:t>
        </w:r>
      </w:hyperlink>
      <w:r w:rsidR="00E010F5">
        <w:rPr>
          <w:rStyle w:val="Hyperlink"/>
          <w:sz w:val="16"/>
          <w:szCs w:val="16"/>
          <w:u w:val="none"/>
        </w:rPr>
        <w:t>.</w:t>
      </w:r>
    </w:p>
  </w:footnote>
  <w:footnote w:id="6">
    <w:p w:rsidR="00D94CAF" w:rsidRPr="00690D84" w:rsidRDefault="00D94CAF" w:rsidP="00D94CAF">
      <w:pPr>
        <w:pStyle w:val="FootnoteText"/>
        <w:rPr>
          <w:sz w:val="18"/>
          <w:szCs w:val="18"/>
        </w:rPr>
      </w:pPr>
      <w:r w:rsidRPr="00E010F5">
        <w:rPr>
          <w:rStyle w:val="FootnoteReference"/>
          <w:szCs w:val="24"/>
        </w:rPr>
        <w:footnoteRef/>
      </w:r>
      <w:r>
        <w:rPr>
          <w:sz w:val="18"/>
          <w:szCs w:val="18"/>
        </w:rPr>
        <w:tab/>
      </w:r>
      <w:hyperlink r:id="rId7" w:history="1">
        <w:r w:rsidRPr="00BE17FE">
          <w:rPr>
            <w:rStyle w:val="Hyperlink"/>
          </w:rPr>
          <w:t>Úř. věst. C 429, 11.12.2020, s. 290</w:t>
        </w:r>
      </w:hyperlink>
      <w:r>
        <w:t>.</w:t>
      </w:r>
    </w:p>
  </w:footnote>
  <w:footnote w:id="7">
    <w:p w:rsidR="00D94CAF" w:rsidRPr="00690D84" w:rsidRDefault="00D94CAF" w:rsidP="00D94CAF">
      <w:pPr>
        <w:pStyle w:val="FootnoteText"/>
        <w:rPr>
          <w:sz w:val="18"/>
          <w:szCs w:val="18"/>
        </w:rPr>
      </w:pPr>
      <w:r w:rsidRPr="00E010F5">
        <w:rPr>
          <w:rStyle w:val="FootnoteReference"/>
          <w:szCs w:val="24"/>
        </w:rPr>
        <w:footnoteRef/>
      </w:r>
      <w:r>
        <w:rPr>
          <w:sz w:val="18"/>
          <w:szCs w:val="18"/>
        </w:rPr>
        <w:tab/>
      </w:r>
      <w:hyperlink r:id="rId8" w:history="1">
        <w:r>
          <w:rPr>
            <w:rStyle w:val="Hyperlink"/>
          </w:rPr>
          <w:t>COM(2020) 595 final</w:t>
        </w:r>
      </w:hyperlink>
      <w:r>
        <w:t xml:space="preserve">. Viz též související </w:t>
      </w:r>
      <w:hyperlink r:id="rId9" w:history="1">
        <w:r>
          <w:rPr>
            <w:rStyle w:val="Hyperlink"/>
          </w:rPr>
          <w:t>stanovisko EHSV Digitální operační odolnost</w:t>
        </w:r>
      </w:hyperlink>
      <w:r>
        <w:t xml:space="preserve"> (ECO/536), zatím nebylo nezveřejněno.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98D" w:rsidRPr="009A7239" w:rsidRDefault="0080698D" w:rsidP="009A72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0ADC1FDE"/>
    <w:lvl w:ilvl="0">
      <w:start w:val="1"/>
      <w:numFmt w:val="decimal"/>
      <w:pStyle w:val="Heading1"/>
      <w:lvlText w:val="%1."/>
      <w:legacy w:legacy="1" w:legacySpace="0" w:legacyIndent="0"/>
      <w:lvlJc w:val="left"/>
      <w:rPr>
        <w:b w:val="0"/>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288242A6"/>
    <w:multiLevelType w:val="multilevel"/>
    <w:tmpl w:val="B2D41AA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i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60851191"/>
    <w:multiLevelType w:val="multilevel"/>
    <w:tmpl w:val="AB708E6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0"/>
  </w:num>
  <w:num w:numId="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8">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6">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1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2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3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0">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7">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4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5">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6">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7">
    <w:abstractNumId w:val="0"/>
    <w:lvlOverride w:ilvl="0">
      <w:lvl w:ilvl="0">
        <w:start w:val="1"/>
        <w:numFmt w:val="decimal"/>
        <w:pStyle w:val="Heading1"/>
        <w:lvlText w:val="%1."/>
        <w:legacy w:legacy="1" w:legacySpace="0" w:legacyIndent="0"/>
        <w:lvlJc w:val="left"/>
        <w:rPr>
          <w:b w:val="0"/>
        </w:rPr>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8">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59">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0">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1">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2">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3">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4">
    <w:abstractNumId w:val="0"/>
    <w:lvlOverride w:ilvl="0">
      <w:lvl w:ilvl="0">
        <w:start w:val="1"/>
        <w:numFmt w:val="decimal"/>
        <w:pStyle w:val="Heading1"/>
        <w:lvlText w:val="%1."/>
        <w:legacy w:legacy="1" w:legacySpace="0" w:legacyIndent="0"/>
        <w:lvlJc w:val="left"/>
      </w:lvl>
    </w:lvlOverride>
    <w:lvlOverride w:ilvl="1">
      <w:lvl w:ilvl="1">
        <w:start w:val="1"/>
        <w:numFmt w:val="decimal"/>
        <w:pStyle w:val="Heading2"/>
        <w:lvlText w:val="%1.%2"/>
        <w:legacy w:legacy="1" w:legacySpace="144" w:legacyIndent="0"/>
        <w:lvlJc w:val="left"/>
      </w:lvl>
    </w:lvlOverride>
    <w:lvlOverride w:ilvl="2">
      <w:lvl w:ilvl="2">
        <w:start w:val="1"/>
        <w:numFmt w:val="decimal"/>
        <w:pStyle w:val="Heading3"/>
        <w:lvlText w:val="%1.%2.%3"/>
        <w:legacy w:legacy="1" w:legacySpace="144" w:legacyIndent="0"/>
        <w:lvlJc w:val="left"/>
      </w:lvl>
    </w:lvlOverride>
    <w:lvlOverride w:ilvl="3">
      <w:lvl w:ilvl="3">
        <w:start w:val="1"/>
        <w:numFmt w:val="decimal"/>
        <w:pStyle w:val="Heading4"/>
        <w:lvlText w:val="%1.%2.%3.%4"/>
        <w:legacy w:legacy="1" w:legacySpace="144" w:legacyIndent="0"/>
        <w:lvlJc w:val="left"/>
      </w:lvl>
    </w:lvlOverride>
    <w:lvlOverride w:ilvl="4">
      <w:lvl w:ilvl="4">
        <w:start w:val="1"/>
        <w:numFmt w:val="decimal"/>
        <w:pStyle w:val="Heading5"/>
        <w:lvlText w:val="%1.%2.%3.%4.%5"/>
        <w:legacy w:legacy="1" w:legacySpace="144" w:legacyIndent="0"/>
        <w:lvlJc w:val="left"/>
      </w:lvl>
    </w:lvlOverride>
    <w:lvlOverride w:ilvl="5">
      <w:lvl w:ilvl="5">
        <w:start w:val="1"/>
        <w:numFmt w:val="decimal"/>
        <w:pStyle w:val="Heading6"/>
        <w:lvlText w:val="%1.%2.%3.%4.%5.%6"/>
        <w:legacy w:legacy="1" w:legacySpace="144" w:legacyIndent="0"/>
        <w:lvlJc w:val="left"/>
      </w:lvl>
    </w:lvlOverride>
    <w:lvlOverride w:ilvl="6">
      <w:lvl w:ilvl="6">
        <w:start w:val="1"/>
        <w:numFmt w:val="decimal"/>
        <w:pStyle w:val="Heading7"/>
        <w:lvlText w:val="%1.%2.%3.%4.%5.%6.%7"/>
        <w:legacy w:legacy="1" w:legacySpace="144" w:legacyIndent="0"/>
        <w:lvlJc w:val="left"/>
      </w:lvl>
    </w:lvlOverride>
    <w:lvlOverride w:ilvl="7">
      <w:lvl w:ilvl="7">
        <w:start w:val="1"/>
        <w:numFmt w:val="decimal"/>
        <w:pStyle w:val="Heading8"/>
        <w:lvlText w:val="%1.%2.%3.%4.%5.%6.%7.%8"/>
        <w:legacy w:legacy="1" w:legacySpace="144" w:legacyIndent="0"/>
        <w:lvlJc w:val="left"/>
      </w:lvl>
    </w:lvlOverride>
    <w:lvlOverride w:ilvl="8">
      <w:lvl w:ilvl="8">
        <w:start w:val="1"/>
        <w:numFmt w:val="decimal"/>
        <w:pStyle w:val="Heading9"/>
        <w:lvlText w:val="%1.%2.%3.%4.%5.%6.%7.%8.%9"/>
        <w:legacy w:legacy="1" w:legacySpace="144" w:legacyIndent="0"/>
        <w:lvlJc w:val="left"/>
      </w:lvl>
    </w:lvlOverride>
  </w:num>
  <w:num w:numId="65">
    <w:abstractNumId w:val="1"/>
  </w:num>
  <w:num w:numId="66">
    <w:abstractNumId w:val="0"/>
  </w:num>
  <w:num w:numId="67">
    <w:abstractNumId w:val="0"/>
  </w:num>
  <w:num w:numId="68">
    <w:abstractNumId w:val="0"/>
  </w:num>
  <w:num w:numId="69">
    <w:abstractNumId w:val="0"/>
  </w:num>
  <w:num w:numId="70">
    <w:abstractNumId w:val="0"/>
  </w:num>
  <w:num w:numId="71">
    <w:abstractNumId w:val="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hideGrammaticalErrors/>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2"/>
  <w:displayVerticalDrawingGridEvery w:val="0"/>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7F8F"/>
    <w:rsid w:val="00004A65"/>
    <w:rsid w:val="00005AB9"/>
    <w:rsid w:val="00005EB9"/>
    <w:rsid w:val="00006E24"/>
    <w:rsid w:val="00007A40"/>
    <w:rsid w:val="00011D33"/>
    <w:rsid w:val="000139D1"/>
    <w:rsid w:val="00020E6E"/>
    <w:rsid w:val="000244DD"/>
    <w:rsid w:val="00031A4B"/>
    <w:rsid w:val="00033913"/>
    <w:rsid w:val="00033E5B"/>
    <w:rsid w:val="000357A8"/>
    <w:rsid w:val="000430A6"/>
    <w:rsid w:val="00044923"/>
    <w:rsid w:val="0005120A"/>
    <w:rsid w:val="0005249C"/>
    <w:rsid w:val="000534A5"/>
    <w:rsid w:val="0005680D"/>
    <w:rsid w:val="00063FB4"/>
    <w:rsid w:val="0006444C"/>
    <w:rsid w:val="0006793E"/>
    <w:rsid w:val="00072E0F"/>
    <w:rsid w:val="000735E5"/>
    <w:rsid w:val="0007392F"/>
    <w:rsid w:val="0007468D"/>
    <w:rsid w:val="00087B39"/>
    <w:rsid w:val="00096502"/>
    <w:rsid w:val="000A49BB"/>
    <w:rsid w:val="000B69F9"/>
    <w:rsid w:val="000C3441"/>
    <w:rsid w:val="000C7F53"/>
    <w:rsid w:val="000D2F8E"/>
    <w:rsid w:val="000E0126"/>
    <w:rsid w:val="000E16D5"/>
    <w:rsid w:val="000F196B"/>
    <w:rsid w:val="00105361"/>
    <w:rsid w:val="001101F8"/>
    <w:rsid w:val="0011206F"/>
    <w:rsid w:val="00115C25"/>
    <w:rsid w:val="0011656A"/>
    <w:rsid w:val="0012220C"/>
    <w:rsid w:val="0012584B"/>
    <w:rsid w:val="00136EA3"/>
    <w:rsid w:val="00137575"/>
    <w:rsid w:val="00144231"/>
    <w:rsid w:val="00150434"/>
    <w:rsid w:val="00155491"/>
    <w:rsid w:val="00155721"/>
    <w:rsid w:val="00155A32"/>
    <w:rsid w:val="0015678B"/>
    <w:rsid w:val="0016503F"/>
    <w:rsid w:val="0016674F"/>
    <w:rsid w:val="00167CA0"/>
    <w:rsid w:val="0017120D"/>
    <w:rsid w:val="001714F6"/>
    <w:rsid w:val="0017517E"/>
    <w:rsid w:val="00176168"/>
    <w:rsid w:val="00177158"/>
    <w:rsid w:val="001808A5"/>
    <w:rsid w:val="00183D34"/>
    <w:rsid w:val="00184FD4"/>
    <w:rsid w:val="00186B04"/>
    <w:rsid w:val="00186F1E"/>
    <w:rsid w:val="00190836"/>
    <w:rsid w:val="00193930"/>
    <w:rsid w:val="001963A5"/>
    <w:rsid w:val="00196F1E"/>
    <w:rsid w:val="00197FCA"/>
    <w:rsid w:val="001A27DB"/>
    <w:rsid w:val="001A4319"/>
    <w:rsid w:val="001A6852"/>
    <w:rsid w:val="001B286A"/>
    <w:rsid w:val="001B2D02"/>
    <w:rsid w:val="001B3647"/>
    <w:rsid w:val="001B4F47"/>
    <w:rsid w:val="001B534A"/>
    <w:rsid w:val="001B77FA"/>
    <w:rsid w:val="001C0ABE"/>
    <w:rsid w:val="001C4939"/>
    <w:rsid w:val="001C5852"/>
    <w:rsid w:val="001C651E"/>
    <w:rsid w:val="001D45F0"/>
    <w:rsid w:val="001E2C62"/>
    <w:rsid w:val="001E4A33"/>
    <w:rsid w:val="001E4EBC"/>
    <w:rsid w:val="001E5C27"/>
    <w:rsid w:val="001F1831"/>
    <w:rsid w:val="001F2261"/>
    <w:rsid w:val="001F602B"/>
    <w:rsid w:val="001F6AC8"/>
    <w:rsid w:val="001F7688"/>
    <w:rsid w:val="002037D5"/>
    <w:rsid w:val="00206F90"/>
    <w:rsid w:val="00212B03"/>
    <w:rsid w:val="002131AE"/>
    <w:rsid w:val="00215C10"/>
    <w:rsid w:val="00215C2D"/>
    <w:rsid w:val="00222006"/>
    <w:rsid w:val="002252C4"/>
    <w:rsid w:val="00230111"/>
    <w:rsid w:val="0023183E"/>
    <w:rsid w:val="00235138"/>
    <w:rsid w:val="00243E36"/>
    <w:rsid w:val="0024540B"/>
    <w:rsid w:val="00245EF4"/>
    <w:rsid w:val="00250E11"/>
    <w:rsid w:val="00251383"/>
    <w:rsid w:val="002522C9"/>
    <w:rsid w:val="00252A21"/>
    <w:rsid w:val="00253E4F"/>
    <w:rsid w:val="002542E4"/>
    <w:rsid w:val="00261053"/>
    <w:rsid w:val="00262FDE"/>
    <w:rsid w:val="00263629"/>
    <w:rsid w:val="002769BD"/>
    <w:rsid w:val="00276A75"/>
    <w:rsid w:val="002809EA"/>
    <w:rsid w:val="00281706"/>
    <w:rsid w:val="002848D8"/>
    <w:rsid w:val="00284962"/>
    <w:rsid w:val="00287B0E"/>
    <w:rsid w:val="002A0B53"/>
    <w:rsid w:val="002A0EEF"/>
    <w:rsid w:val="002A76F9"/>
    <w:rsid w:val="002B2DF7"/>
    <w:rsid w:val="002C1DB1"/>
    <w:rsid w:val="002C3BF4"/>
    <w:rsid w:val="002C749F"/>
    <w:rsid w:val="002E7B33"/>
    <w:rsid w:val="002F059B"/>
    <w:rsid w:val="002F5B0B"/>
    <w:rsid w:val="00300924"/>
    <w:rsid w:val="0030596E"/>
    <w:rsid w:val="0030651D"/>
    <w:rsid w:val="003073C3"/>
    <w:rsid w:val="00313B44"/>
    <w:rsid w:val="00323637"/>
    <w:rsid w:val="00324E8A"/>
    <w:rsid w:val="00331D87"/>
    <w:rsid w:val="00332850"/>
    <w:rsid w:val="00334478"/>
    <w:rsid w:val="003346B4"/>
    <w:rsid w:val="00334AE6"/>
    <w:rsid w:val="003365D0"/>
    <w:rsid w:val="003439AB"/>
    <w:rsid w:val="0035034C"/>
    <w:rsid w:val="00354695"/>
    <w:rsid w:val="0035549B"/>
    <w:rsid w:val="0037406E"/>
    <w:rsid w:val="003755C8"/>
    <w:rsid w:val="00375687"/>
    <w:rsid w:val="00380AE0"/>
    <w:rsid w:val="00383324"/>
    <w:rsid w:val="00383C10"/>
    <w:rsid w:val="00387A75"/>
    <w:rsid w:val="003904FD"/>
    <w:rsid w:val="00394254"/>
    <w:rsid w:val="00395BA8"/>
    <w:rsid w:val="003A4894"/>
    <w:rsid w:val="003A70A1"/>
    <w:rsid w:val="003A7817"/>
    <w:rsid w:val="003B290D"/>
    <w:rsid w:val="003C2BFB"/>
    <w:rsid w:val="003C436B"/>
    <w:rsid w:val="003C5337"/>
    <w:rsid w:val="003C5F92"/>
    <w:rsid w:val="003C7283"/>
    <w:rsid w:val="003D0A2C"/>
    <w:rsid w:val="003D7A8C"/>
    <w:rsid w:val="003D7C00"/>
    <w:rsid w:val="003E56E5"/>
    <w:rsid w:val="003E7E60"/>
    <w:rsid w:val="003F00D4"/>
    <w:rsid w:val="003F2209"/>
    <w:rsid w:val="003F3D39"/>
    <w:rsid w:val="003F646A"/>
    <w:rsid w:val="003F6761"/>
    <w:rsid w:val="003F6A0A"/>
    <w:rsid w:val="004024F5"/>
    <w:rsid w:val="00402DE1"/>
    <w:rsid w:val="00403D8B"/>
    <w:rsid w:val="004058F1"/>
    <w:rsid w:val="00407C5A"/>
    <w:rsid w:val="00407E7D"/>
    <w:rsid w:val="0041283D"/>
    <w:rsid w:val="00413AB4"/>
    <w:rsid w:val="00415C4E"/>
    <w:rsid w:val="00417E15"/>
    <w:rsid w:val="00421373"/>
    <w:rsid w:val="00421FB7"/>
    <w:rsid w:val="0042223E"/>
    <w:rsid w:val="00425F69"/>
    <w:rsid w:val="0042763B"/>
    <w:rsid w:val="0043024C"/>
    <w:rsid w:val="00436706"/>
    <w:rsid w:val="00443D38"/>
    <w:rsid w:val="00450E7A"/>
    <w:rsid w:val="00456AF8"/>
    <w:rsid w:val="00456E96"/>
    <w:rsid w:val="00462C85"/>
    <w:rsid w:val="00470B15"/>
    <w:rsid w:val="00475869"/>
    <w:rsid w:val="00475A77"/>
    <w:rsid w:val="004866A9"/>
    <w:rsid w:val="00492774"/>
    <w:rsid w:val="00496D7A"/>
    <w:rsid w:val="004A31BC"/>
    <w:rsid w:val="004A3F1A"/>
    <w:rsid w:val="004A3F45"/>
    <w:rsid w:val="004A5738"/>
    <w:rsid w:val="004B1AFA"/>
    <w:rsid w:val="004B7088"/>
    <w:rsid w:val="004C4D12"/>
    <w:rsid w:val="004C5B76"/>
    <w:rsid w:val="004D02CD"/>
    <w:rsid w:val="004D0B24"/>
    <w:rsid w:val="004D4B90"/>
    <w:rsid w:val="004D52C1"/>
    <w:rsid w:val="004D535F"/>
    <w:rsid w:val="004D6B95"/>
    <w:rsid w:val="004D7D6A"/>
    <w:rsid w:val="004D7F41"/>
    <w:rsid w:val="004E03A2"/>
    <w:rsid w:val="004E317E"/>
    <w:rsid w:val="004E3954"/>
    <w:rsid w:val="004E5856"/>
    <w:rsid w:val="004F2330"/>
    <w:rsid w:val="004F53C6"/>
    <w:rsid w:val="004F55C6"/>
    <w:rsid w:val="004F69DB"/>
    <w:rsid w:val="004F6B87"/>
    <w:rsid w:val="00501C2D"/>
    <w:rsid w:val="00502637"/>
    <w:rsid w:val="00511140"/>
    <w:rsid w:val="00513CFE"/>
    <w:rsid w:val="00514148"/>
    <w:rsid w:val="00514827"/>
    <w:rsid w:val="00514AE9"/>
    <w:rsid w:val="00523B6A"/>
    <w:rsid w:val="00525F6C"/>
    <w:rsid w:val="005315EE"/>
    <w:rsid w:val="005450E2"/>
    <w:rsid w:val="00546895"/>
    <w:rsid w:val="00546AB4"/>
    <w:rsid w:val="005514E5"/>
    <w:rsid w:val="00563C84"/>
    <w:rsid w:val="005762F6"/>
    <w:rsid w:val="00584FBE"/>
    <w:rsid w:val="00585483"/>
    <w:rsid w:val="00587378"/>
    <w:rsid w:val="00587C05"/>
    <w:rsid w:val="00590AAB"/>
    <w:rsid w:val="005938C3"/>
    <w:rsid w:val="0059468C"/>
    <w:rsid w:val="00595125"/>
    <w:rsid w:val="00596F21"/>
    <w:rsid w:val="005A66B6"/>
    <w:rsid w:val="005B08BA"/>
    <w:rsid w:val="005B1CDD"/>
    <w:rsid w:val="005B1E19"/>
    <w:rsid w:val="005B55FC"/>
    <w:rsid w:val="005B5FEF"/>
    <w:rsid w:val="005C2D5E"/>
    <w:rsid w:val="005C3B81"/>
    <w:rsid w:val="005C650C"/>
    <w:rsid w:val="005D086C"/>
    <w:rsid w:val="005D11D3"/>
    <w:rsid w:val="005D4E1F"/>
    <w:rsid w:val="005D4FB3"/>
    <w:rsid w:val="005E2F07"/>
    <w:rsid w:val="005E2FEA"/>
    <w:rsid w:val="005E423D"/>
    <w:rsid w:val="005F15F3"/>
    <w:rsid w:val="005F314B"/>
    <w:rsid w:val="00611AF2"/>
    <w:rsid w:val="0061212B"/>
    <w:rsid w:val="006127AF"/>
    <w:rsid w:val="00613A98"/>
    <w:rsid w:val="00615FB2"/>
    <w:rsid w:val="00617BD1"/>
    <w:rsid w:val="00617CE8"/>
    <w:rsid w:val="0062500A"/>
    <w:rsid w:val="006278A0"/>
    <w:rsid w:val="0063095F"/>
    <w:rsid w:val="00631CBD"/>
    <w:rsid w:val="0063704F"/>
    <w:rsid w:val="00641FCC"/>
    <w:rsid w:val="00646AC2"/>
    <w:rsid w:val="00650390"/>
    <w:rsid w:val="00654DAB"/>
    <w:rsid w:val="006579DF"/>
    <w:rsid w:val="0066204A"/>
    <w:rsid w:val="00670C97"/>
    <w:rsid w:val="00670E3C"/>
    <w:rsid w:val="00677F57"/>
    <w:rsid w:val="00681088"/>
    <w:rsid w:val="00690D84"/>
    <w:rsid w:val="0069577E"/>
    <w:rsid w:val="0069634B"/>
    <w:rsid w:val="00696623"/>
    <w:rsid w:val="006A04E9"/>
    <w:rsid w:val="006A2816"/>
    <w:rsid w:val="006A4A03"/>
    <w:rsid w:val="006A7543"/>
    <w:rsid w:val="006B1944"/>
    <w:rsid w:val="006B33FB"/>
    <w:rsid w:val="006B725C"/>
    <w:rsid w:val="006C273D"/>
    <w:rsid w:val="006C42A2"/>
    <w:rsid w:val="006C5C4F"/>
    <w:rsid w:val="006C6282"/>
    <w:rsid w:val="006C762A"/>
    <w:rsid w:val="006D1E57"/>
    <w:rsid w:val="006D41A7"/>
    <w:rsid w:val="006D5FF9"/>
    <w:rsid w:val="006E0772"/>
    <w:rsid w:val="006E0F86"/>
    <w:rsid w:val="006F0B15"/>
    <w:rsid w:val="006F0DCC"/>
    <w:rsid w:val="00703DF9"/>
    <w:rsid w:val="007048EB"/>
    <w:rsid w:val="00704FBB"/>
    <w:rsid w:val="0070726A"/>
    <w:rsid w:val="0071226B"/>
    <w:rsid w:val="00717040"/>
    <w:rsid w:val="00722DFE"/>
    <w:rsid w:val="0072348F"/>
    <w:rsid w:val="007275EF"/>
    <w:rsid w:val="00740470"/>
    <w:rsid w:val="0075429F"/>
    <w:rsid w:val="007622A7"/>
    <w:rsid w:val="007709B8"/>
    <w:rsid w:val="007750A2"/>
    <w:rsid w:val="007817D6"/>
    <w:rsid w:val="0078185B"/>
    <w:rsid w:val="00781E1C"/>
    <w:rsid w:val="00787912"/>
    <w:rsid w:val="00790303"/>
    <w:rsid w:val="0079177A"/>
    <w:rsid w:val="00794836"/>
    <w:rsid w:val="007948D5"/>
    <w:rsid w:val="00796EA0"/>
    <w:rsid w:val="007A15C9"/>
    <w:rsid w:val="007A340A"/>
    <w:rsid w:val="007A3915"/>
    <w:rsid w:val="007A6676"/>
    <w:rsid w:val="007B7FF5"/>
    <w:rsid w:val="007C17E5"/>
    <w:rsid w:val="007C3FC6"/>
    <w:rsid w:val="007D2CE9"/>
    <w:rsid w:val="007D4FED"/>
    <w:rsid w:val="007D69DA"/>
    <w:rsid w:val="007D70B1"/>
    <w:rsid w:val="007D7140"/>
    <w:rsid w:val="007D7C1D"/>
    <w:rsid w:val="007E1CDB"/>
    <w:rsid w:val="007E408C"/>
    <w:rsid w:val="007E50BF"/>
    <w:rsid w:val="007E7E21"/>
    <w:rsid w:val="007F0460"/>
    <w:rsid w:val="007F0DA2"/>
    <w:rsid w:val="007F39CE"/>
    <w:rsid w:val="007F5E0D"/>
    <w:rsid w:val="00801085"/>
    <w:rsid w:val="00801A89"/>
    <w:rsid w:val="00804457"/>
    <w:rsid w:val="00804B96"/>
    <w:rsid w:val="0080698D"/>
    <w:rsid w:val="008101D3"/>
    <w:rsid w:val="00812138"/>
    <w:rsid w:val="008151F2"/>
    <w:rsid w:val="0081777A"/>
    <w:rsid w:val="00817B8D"/>
    <w:rsid w:val="008210E0"/>
    <w:rsid w:val="00824079"/>
    <w:rsid w:val="00831F0A"/>
    <w:rsid w:val="00833A78"/>
    <w:rsid w:val="00840F00"/>
    <w:rsid w:val="0084585F"/>
    <w:rsid w:val="00853E53"/>
    <w:rsid w:val="0085535C"/>
    <w:rsid w:val="00864D76"/>
    <w:rsid w:val="008656C9"/>
    <w:rsid w:val="0086711C"/>
    <w:rsid w:val="00867535"/>
    <w:rsid w:val="00875C5B"/>
    <w:rsid w:val="0087787F"/>
    <w:rsid w:val="00882CFA"/>
    <w:rsid w:val="00883C5F"/>
    <w:rsid w:val="00891C7D"/>
    <w:rsid w:val="00892FA7"/>
    <w:rsid w:val="008938B5"/>
    <w:rsid w:val="00897ED7"/>
    <w:rsid w:val="008A3301"/>
    <w:rsid w:val="008A4DF1"/>
    <w:rsid w:val="008A5636"/>
    <w:rsid w:val="008B125E"/>
    <w:rsid w:val="008B241C"/>
    <w:rsid w:val="008B408B"/>
    <w:rsid w:val="008B4F11"/>
    <w:rsid w:val="008B6D33"/>
    <w:rsid w:val="008C2362"/>
    <w:rsid w:val="008C3049"/>
    <w:rsid w:val="008C6F5E"/>
    <w:rsid w:val="008C74D9"/>
    <w:rsid w:val="008D1CCD"/>
    <w:rsid w:val="008D4AE9"/>
    <w:rsid w:val="008D5CF3"/>
    <w:rsid w:val="008D7D39"/>
    <w:rsid w:val="008E4574"/>
    <w:rsid w:val="008E4AFE"/>
    <w:rsid w:val="008E6A0C"/>
    <w:rsid w:val="008F4016"/>
    <w:rsid w:val="008F42FE"/>
    <w:rsid w:val="008F4A00"/>
    <w:rsid w:val="008F5402"/>
    <w:rsid w:val="008F785A"/>
    <w:rsid w:val="0090053A"/>
    <w:rsid w:val="00901C2A"/>
    <w:rsid w:val="009118C7"/>
    <w:rsid w:val="009168E2"/>
    <w:rsid w:val="009225B6"/>
    <w:rsid w:val="00925397"/>
    <w:rsid w:val="00933A21"/>
    <w:rsid w:val="00934C10"/>
    <w:rsid w:val="009354B2"/>
    <w:rsid w:val="0093662A"/>
    <w:rsid w:val="0094060C"/>
    <w:rsid w:val="00942C4B"/>
    <w:rsid w:val="00944196"/>
    <w:rsid w:val="00945736"/>
    <w:rsid w:val="00957781"/>
    <w:rsid w:val="009606A5"/>
    <w:rsid w:val="00962F1F"/>
    <w:rsid w:val="00965304"/>
    <w:rsid w:val="0096616F"/>
    <w:rsid w:val="00967976"/>
    <w:rsid w:val="00971293"/>
    <w:rsid w:val="00973A3B"/>
    <w:rsid w:val="00983EAE"/>
    <w:rsid w:val="0098760B"/>
    <w:rsid w:val="009921AB"/>
    <w:rsid w:val="00992856"/>
    <w:rsid w:val="009A11DD"/>
    <w:rsid w:val="009A7239"/>
    <w:rsid w:val="009A7434"/>
    <w:rsid w:val="009B30AA"/>
    <w:rsid w:val="009B5217"/>
    <w:rsid w:val="009B5812"/>
    <w:rsid w:val="009C48DE"/>
    <w:rsid w:val="009D60D9"/>
    <w:rsid w:val="009E1E1E"/>
    <w:rsid w:val="009E33E3"/>
    <w:rsid w:val="009E7F16"/>
    <w:rsid w:val="009F1E65"/>
    <w:rsid w:val="009F5052"/>
    <w:rsid w:val="009F78FC"/>
    <w:rsid w:val="00A03083"/>
    <w:rsid w:val="00A04C85"/>
    <w:rsid w:val="00A100F0"/>
    <w:rsid w:val="00A156E6"/>
    <w:rsid w:val="00A177C5"/>
    <w:rsid w:val="00A2403E"/>
    <w:rsid w:val="00A27D86"/>
    <w:rsid w:val="00A30A3D"/>
    <w:rsid w:val="00A33151"/>
    <w:rsid w:val="00A3317C"/>
    <w:rsid w:val="00A341A4"/>
    <w:rsid w:val="00A36970"/>
    <w:rsid w:val="00A41EB4"/>
    <w:rsid w:val="00A41F84"/>
    <w:rsid w:val="00A44BFF"/>
    <w:rsid w:val="00A501E3"/>
    <w:rsid w:val="00A50F0C"/>
    <w:rsid w:val="00A5181D"/>
    <w:rsid w:val="00A56441"/>
    <w:rsid w:val="00A66794"/>
    <w:rsid w:val="00A670AF"/>
    <w:rsid w:val="00A736DD"/>
    <w:rsid w:val="00A82869"/>
    <w:rsid w:val="00A8758C"/>
    <w:rsid w:val="00A94003"/>
    <w:rsid w:val="00AA127E"/>
    <w:rsid w:val="00AA19AE"/>
    <w:rsid w:val="00AA423D"/>
    <w:rsid w:val="00AA5798"/>
    <w:rsid w:val="00AA6A95"/>
    <w:rsid w:val="00AB0876"/>
    <w:rsid w:val="00AB10DE"/>
    <w:rsid w:val="00AB3668"/>
    <w:rsid w:val="00AB4BF8"/>
    <w:rsid w:val="00AB5ED7"/>
    <w:rsid w:val="00AC0B4C"/>
    <w:rsid w:val="00AD0AEE"/>
    <w:rsid w:val="00AD49E3"/>
    <w:rsid w:val="00AD4B4F"/>
    <w:rsid w:val="00AD5EED"/>
    <w:rsid w:val="00AE1808"/>
    <w:rsid w:val="00AF0616"/>
    <w:rsid w:val="00AF0E28"/>
    <w:rsid w:val="00AF6F9B"/>
    <w:rsid w:val="00B01409"/>
    <w:rsid w:val="00B034E2"/>
    <w:rsid w:val="00B06E62"/>
    <w:rsid w:val="00B10DBD"/>
    <w:rsid w:val="00B15629"/>
    <w:rsid w:val="00B16F23"/>
    <w:rsid w:val="00B2372C"/>
    <w:rsid w:val="00B32F70"/>
    <w:rsid w:val="00B33BDC"/>
    <w:rsid w:val="00B373D0"/>
    <w:rsid w:val="00B379C8"/>
    <w:rsid w:val="00B43AAA"/>
    <w:rsid w:val="00B45D42"/>
    <w:rsid w:val="00B53139"/>
    <w:rsid w:val="00B562CE"/>
    <w:rsid w:val="00B62DE2"/>
    <w:rsid w:val="00B72E62"/>
    <w:rsid w:val="00B74417"/>
    <w:rsid w:val="00B77246"/>
    <w:rsid w:val="00B866CD"/>
    <w:rsid w:val="00B90C19"/>
    <w:rsid w:val="00B91EDD"/>
    <w:rsid w:val="00B93034"/>
    <w:rsid w:val="00B93A81"/>
    <w:rsid w:val="00B97C5D"/>
    <w:rsid w:val="00BA1290"/>
    <w:rsid w:val="00BA372B"/>
    <w:rsid w:val="00BB2792"/>
    <w:rsid w:val="00BB6961"/>
    <w:rsid w:val="00BB76BF"/>
    <w:rsid w:val="00BC1AD1"/>
    <w:rsid w:val="00BC1D82"/>
    <w:rsid w:val="00BC4499"/>
    <w:rsid w:val="00BC4A58"/>
    <w:rsid w:val="00BC4D8C"/>
    <w:rsid w:val="00BC613B"/>
    <w:rsid w:val="00BD51D9"/>
    <w:rsid w:val="00BD5408"/>
    <w:rsid w:val="00BD5A95"/>
    <w:rsid w:val="00BD64E2"/>
    <w:rsid w:val="00BE17FE"/>
    <w:rsid w:val="00BE1A02"/>
    <w:rsid w:val="00BE305E"/>
    <w:rsid w:val="00BE4995"/>
    <w:rsid w:val="00BF429A"/>
    <w:rsid w:val="00BF62BE"/>
    <w:rsid w:val="00C02DAA"/>
    <w:rsid w:val="00C07126"/>
    <w:rsid w:val="00C16853"/>
    <w:rsid w:val="00C263F0"/>
    <w:rsid w:val="00C30622"/>
    <w:rsid w:val="00C33D41"/>
    <w:rsid w:val="00C40AFD"/>
    <w:rsid w:val="00C41E20"/>
    <w:rsid w:val="00C42E3E"/>
    <w:rsid w:val="00C43FE8"/>
    <w:rsid w:val="00C44038"/>
    <w:rsid w:val="00C50818"/>
    <w:rsid w:val="00C51C13"/>
    <w:rsid w:val="00C525A5"/>
    <w:rsid w:val="00C5300F"/>
    <w:rsid w:val="00C542A8"/>
    <w:rsid w:val="00C54594"/>
    <w:rsid w:val="00C66CE0"/>
    <w:rsid w:val="00C71BED"/>
    <w:rsid w:val="00C7354A"/>
    <w:rsid w:val="00C737B2"/>
    <w:rsid w:val="00C81B53"/>
    <w:rsid w:val="00C82AD2"/>
    <w:rsid w:val="00C8546B"/>
    <w:rsid w:val="00C90FB6"/>
    <w:rsid w:val="00C91583"/>
    <w:rsid w:val="00C9220E"/>
    <w:rsid w:val="00C932BD"/>
    <w:rsid w:val="00C93429"/>
    <w:rsid w:val="00CA16C5"/>
    <w:rsid w:val="00CA3883"/>
    <w:rsid w:val="00CA415A"/>
    <w:rsid w:val="00CA7A35"/>
    <w:rsid w:val="00CB1536"/>
    <w:rsid w:val="00CB7FB8"/>
    <w:rsid w:val="00CC1F71"/>
    <w:rsid w:val="00CC47D9"/>
    <w:rsid w:val="00CC523C"/>
    <w:rsid w:val="00CC5588"/>
    <w:rsid w:val="00CC5EB3"/>
    <w:rsid w:val="00CC743D"/>
    <w:rsid w:val="00CD0E7B"/>
    <w:rsid w:val="00CD2553"/>
    <w:rsid w:val="00CD293B"/>
    <w:rsid w:val="00CD2ABD"/>
    <w:rsid w:val="00CD4024"/>
    <w:rsid w:val="00CD4617"/>
    <w:rsid w:val="00CD4855"/>
    <w:rsid w:val="00CE6209"/>
    <w:rsid w:val="00CE6D43"/>
    <w:rsid w:val="00CE7888"/>
    <w:rsid w:val="00CF3923"/>
    <w:rsid w:val="00D033DB"/>
    <w:rsid w:val="00D10E1C"/>
    <w:rsid w:val="00D161A3"/>
    <w:rsid w:val="00D22E49"/>
    <w:rsid w:val="00D23716"/>
    <w:rsid w:val="00D25ED8"/>
    <w:rsid w:val="00D27F8F"/>
    <w:rsid w:val="00D316B8"/>
    <w:rsid w:val="00D31CFC"/>
    <w:rsid w:val="00D3255D"/>
    <w:rsid w:val="00D340C3"/>
    <w:rsid w:val="00D409CD"/>
    <w:rsid w:val="00D423D4"/>
    <w:rsid w:val="00D42CAF"/>
    <w:rsid w:val="00D5310F"/>
    <w:rsid w:val="00D601EF"/>
    <w:rsid w:val="00D61533"/>
    <w:rsid w:val="00D63B2F"/>
    <w:rsid w:val="00D63BD8"/>
    <w:rsid w:val="00D70747"/>
    <w:rsid w:val="00D7261D"/>
    <w:rsid w:val="00D755FC"/>
    <w:rsid w:val="00D76B6D"/>
    <w:rsid w:val="00D84D07"/>
    <w:rsid w:val="00D8526A"/>
    <w:rsid w:val="00D90E91"/>
    <w:rsid w:val="00D94CAF"/>
    <w:rsid w:val="00DB60E1"/>
    <w:rsid w:val="00DC1347"/>
    <w:rsid w:val="00DC39F1"/>
    <w:rsid w:val="00DC6960"/>
    <w:rsid w:val="00DE4B35"/>
    <w:rsid w:val="00DE7C45"/>
    <w:rsid w:val="00DF19C1"/>
    <w:rsid w:val="00DF54CA"/>
    <w:rsid w:val="00DF56C9"/>
    <w:rsid w:val="00DF5B64"/>
    <w:rsid w:val="00DF6840"/>
    <w:rsid w:val="00E010F5"/>
    <w:rsid w:val="00E01608"/>
    <w:rsid w:val="00E02794"/>
    <w:rsid w:val="00E03B17"/>
    <w:rsid w:val="00E03EA3"/>
    <w:rsid w:val="00E043E3"/>
    <w:rsid w:val="00E0505B"/>
    <w:rsid w:val="00E11280"/>
    <w:rsid w:val="00E12359"/>
    <w:rsid w:val="00E152FF"/>
    <w:rsid w:val="00E23A48"/>
    <w:rsid w:val="00E2461B"/>
    <w:rsid w:val="00E24886"/>
    <w:rsid w:val="00E276FB"/>
    <w:rsid w:val="00E32595"/>
    <w:rsid w:val="00E32DC6"/>
    <w:rsid w:val="00E33A74"/>
    <w:rsid w:val="00E4030B"/>
    <w:rsid w:val="00E40F34"/>
    <w:rsid w:val="00E41D56"/>
    <w:rsid w:val="00E457DF"/>
    <w:rsid w:val="00E46642"/>
    <w:rsid w:val="00E5139A"/>
    <w:rsid w:val="00E5413D"/>
    <w:rsid w:val="00E5447A"/>
    <w:rsid w:val="00E57977"/>
    <w:rsid w:val="00E635D7"/>
    <w:rsid w:val="00E670BD"/>
    <w:rsid w:val="00E70576"/>
    <w:rsid w:val="00E71208"/>
    <w:rsid w:val="00E71DED"/>
    <w:rsid w:val="00E740AA"/>
    <w:rsid w:val="00E82D0D"/>
    <w:rsid w:val="00E83954"/>
    <w:rsid w:val="00E86506"/>
    <w:rsid w:val="00E905FC"/>
    <w:rsid w:val="00E91730"/>
    <w:rsid w:val="00E96F04"/>
    <w:rsid w:val="00E97AEC"/>
    <w:rsid w:val="00E97E0E"/>
    <w:rsid w:val="00EA20FE"/>
    <w:rsid w:val="00EB491E"/>
    <w:rsid w:val="00EB681B"/>
    <w:rsid w:val="00EC4FAD"/>
    <w:rsid w:val="00EE3CFA"/>
    <w:rsid w:val="00EE69E4"/>
    <w:rsid w:val="00EF2A7F"/>
    <w:rsid w:val="00EF7E90"/>
    <w:rsid w:val="00F002B6"/>
    <w:rsid w:val="00F02ED0"/>
    <w:rsid w:val="00F04103"/>
    <w:rsid w:val="00F10AFE"/>
    <w:rsid w:val="00F15C6C"/>
    <w:rsid w:val="00F17173"/>
    <w:rsid w:val="00F20112"/>
    <w:rsid w:val="00F20987"/>
    <w:rsid w:val="00F224DC"/>
    <w:rsid w:val="00F2567A"/>
    <w:rsid w:val="00F2687F"/>
    <w:rsid w:val="00F26A5E"/>
    <w:rsid w:val="00F27F29"/>
    <w:rsid w:val="00F31A96"/>
    <w:rsid w:val="00F32D54"/>
    <w:rsid w:val="00F36C54"/>
    <w:rsid w:val="00F418EA"/>
    <w:rsid w:val="00F41A29"/>
    <w:rsid w:val="00F44C1C"/>
    <w:rsid w:val="00F518DF"/>
    <w:rsid w:val="00F544DB"/>
    <w:rsid w:val="00F62668"/>
    <w:rsid w:val="00F648EA"/>
    <w:rsid w:val="00F6502E"/>
    <w:rsid w:val="00F65663"/>
    <w:rsid w:val="00F67E6E"/>
    <w:rsid w:val="00F75147"/>
    <w:rsid w:val="00F756C0"/>
    <w:rsid w:val="00F75A40"/>
    <w:rsid w:val="00F77637"/>
    <w:rsid w:val="00F8435D"/>
    <w:rsid w:val="00F862E5"/>
    <w:rsid w:val="00F87DD0"/>
    <w:rsid w:val="00F93360"/>
    <w:rsid w:val="00F93FE4"/>
    <w:rsid w:val="00F97E4E"/>
    <w:rsid w:val="00FA1A40"/>
    <w:rsid w:val="00FA217B"/>
    <w:rsid w:val="00FB0BC5"/>
    <w:rsid w:val="00FB0BCC"/>
    <w:rsid w:val="00FC0FE5"/>
    <w:rsid w:val="00FC35C5"/>
    <w:rsid w:val="00FD1ABC"/>
    <w:rsid w:val="00FD7DDF"/>
    <w:rsid w:val="00FE4C92"/>
    <w:rsid w:val="00FF0FAA"/>
    <w:rsid w:val="00FF3759"/>
    <w:rsid w:val="00FF439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4:docId w14:val="609A09A5"/>
  <w15:docId w15:val="{C3B52232-EF58-4BCC-9962-E30A27BA2202}"/>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en-GB" w:bidi="en-GB"/>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qFormat="1"/>
    <w:lsdException w:name="annotation text" w:semiHidden="1" w:uiPriority="0" w:unhideWhenUsed="1"/>
    <w:lsdException w:name="header" w:locked="1" w:semiHidden="1" w:uiPriority="0" w:unhideWhenUsed="1" w:qFormat="1"/>
    <w:lsdException w:name="footer" w:locked="1" w:semiHidden="1" w:uiPriority="0"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0BF"/>
    <w:pPr>
      <w:spacing w:line="288" w:lineRule="auto"/>
      <w:jc w:val="both"/>
    </w:pPr>
    <w:rPr>
      <w:lang w:eastAsia="en-US" w:bidi="ar-SA"/>
    </w:rPr>
  </w:style>
  <w:style w:type="paragraph" w:styleId="Heading1">
    <w:name w:val="heading 1"/>
    <w:basedOn w:val="Normal"/>
    <w:next w:val="Normal"/>
    <w:link w:val="Heading1Char"/>
    <w:qFormat/>
    <w:rsid w:val="007E50BF"/>
    <w:pPr>
      <w:numPr>
        <w:numId w:val="1"/>
      </w:numPr>
      <w:ind w:left="567" w:hanging="567"/>
      <w:outlineLvl w:val="0"/>
    </w:pPr>
    <w:rPr>
      <w:kern w:val="28"/>
    </w:rPr>
  </w:style>
  <w:style w:type="paragraph" w:styleId="Heading2">
    <w:name w:val="heading 2"/>
    <w:basedOn w:val="Normal"/>
    <w:next w:val="Normal"/>
    <w:link w:val="Heading2Char"/>
    <w:qFormat/>
    <w:rsid w:val="007E50BF"/>
    <w:pPr>
      <w:numPr>
        <w:ilvl w:val="1"/>
        <w:numId w:val="1"/>
      </w:numPr>
      <w:ind w:left="567" w:hanging="567"/>
      <w:outlineLvl w:val="1"/>
    </w:pPr>
  </w:style>
  <w:style w:type="paragraph" w:styleId="Heading3">
    <w:name w:val="heading 3"/>
    <w:basedOn w:val="Normal"/>
    <w:next w:val="Normal"/>
    <w:link w:val="Heading3Char"/>
    <w:qFormat/>
    <w:rsid w:val="007E50BF"/>
    <w:pPr>
      <w:numPr>
        <w:ilvl w:val="2"/>
        <w:numId w:val="1"/>
      </w:numPr>
      <w:ind w:left="567" w:hanging="567"/>
      <w:outlineLvl w:val="2"/>
    </w:pPr>
  </w:style>
  <w:style w:type="paragraph" w:styleId="Heading4">
    <w:name w:val="heading 4"/>
    <w:basedOn w:val="Normal"/>
    <w:next w:val="Normal"/>
    <w:link w:val="Heading4Char"/>
    <w:qFormat/>
    <w:rsid w:val="007E50BF"/>
    <w:pPr>
      <w:numPr>
        <w:ilvl w:val="3"/>
        <w:numId w:val="1"/>
      </w:numPr>
      <w:ind w:left="567" w:hanging="567"/>
      <w:outlineLvl w:val="3"/>
    </w:pPr>
  </w:style>
  <w:style w:type="paragraph" w:styleId="Heading5">
    <w:name w:val="heading 5"/>
    <w:basedOn w:val="Normal"/>
    <w:next w:val="Normal"/>
    <w:link w:val="Heading5Char"/>
    <w:qFormat/>
    <w:rsid w:val="007E50BF"/>
    <w:pPr>
      <w:numPr>
        <w:ilvl w:val="4"/>
        <w:numId w:val="1"/>
      </w:numPr>
      <w:ind w:left="567" w:hanging="567"/>
      <w:outlineLvl w:val="4"/>
    </w:pPr>
  </w:style>
  <w:style w:type="paragraph" w:styleId="Heading6">
    <w:name w:val="heading 6"/>
    <w:basedOn w:val="Normal"/>
    <w:next w:val="Normal"/>
    <w:link w:val="Heading6Char"/>
    <w:qFormat/>
    <w:rsid w:val="007E50BF"/>
    <w:pPr>
      <w:numPr>
        <w:ilvl w:val="5"/>
        <w:numId w:val="1"/>
      </w:numPr>
      <w:ind w:left="567" w:hanging="567"/>
      <w:outlineLvl w:val="5"/>
    </w:pPr>
  </w:style>
  <w:style w:type="paragraph" w:styleId="Heading7">
    <w:name w:val="heading 7"/>
    <w:basedOn w:val="Normal"/>
    <w:next w:val="Normal"/>
    <w:link w:val="Heading7Char"/>
    <w:qFormat/>
    <w:rsid w:val="007E50BF"/>
    <w:pPr>
      <w:numPr>
        <w:ilvl w:val="6"/>
        <w:numId w:val="1"/>
      </w:numPr>
      <w:ind w:left="567" w:hanging="567"/>
      <w:outlineLvl w:val="6"/>
    </w:pPr>
  </w:style>
  <w:style w:type="paragraph" w:styleId="Heading8">
    <w:name w:val="heading 8"/>
    <w:basedOn w:val="Normal"/>
    <w:next w:val="Normal"/>
    <w:link w:val="Heading8Char"/>
    <w:qFormat/>
    <w:rsid w:val="007E50BF"/>
    <w:pPr>
      <w:numPr>
        <w:ilvl w:val="7"/>
        <w:numId w:val="1"/>
      </w:numPr>
      <w:ind w:left="567" w:hanging="567"/>
      <w:outlineLvl w:val="7"/>
    </w:pPr>
  </w:style>
  <w:style w:type="paragraph" w:styleId="Heading9">
    <w:name w:val="heading 9"/>
    <w:basedOn w:val="Normal"/>
    <w:next w:val="Normal"/>
    <w:link w:val="Heading9Char"/>
    <w:qFormat/>
    <w:rsid w:val="007E50BF"/>
    <w:pPr>
      <w:numPr>
        <w:ilvl w:val="8"/>
        <w:numId w:val="1"/>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CB1536"/>
    <w:rPr>
      <w:kern w:val="28"/>
      <w:lang w:val="cs-CZ" w:eastAsia="en-US" w:bidi="ar-SA"/>
    </w:rPr>
  </w:style>
  <w:style w:type="character" w:customStyle="1" w:styleId="Heading2Char">
    <w:name w:val="Heading 2 Char"/>
    <w:basedOn w:val="DefaultParagraphFont"/>
    <w:link w:val="Heading2"/>
    <w:locked/>
    <w:rsid w:val="00CB1536"/>
    <w:rPr>
      <w:lang w:val="cs-CZ" w:eastAsia="en-US" w:bidi="ar-SA"/>
    </w:rPr>
  </w:style>
  <w:style w:type="character" w:customStyle="1" w:styleId="Heading3Char">
    <w:name w:val="Heading 3 Char"/>
    <w:basedOn w:val="DefaultParagraphFont"/>
    <w:link w:val="Heading3"/>
    <w:locked/>
    <w:rsid w:val="00CB1536"/>
    <w:rPr>
      <w:lang w:val="cs-CZ" w:eastAsia="en-US" w:bidi="ar-SA"/>
    </w:rPr>
  </w:style>
  <w:style w:type="character" w:customStyle="1" w:styleId="Heading4Char">
    <w:name w:val="Heading 4 Char"/>
    <w:basedOn w:val="DefaultParagraphFont"/>
    <w:link w:val="Heading4"/>
    <w:locked/>
    <w:rsid w:val="00CB1536"/>
    <w:rPr>
      <w:lang w:val="cs-CZ" w:eastAsia="en-US" w:bidi="ar-SA"/>
    </w:rPr>
  </w:style>
  <w:style w:type="character" w:customStyle="1" w:styleId="Heading5Char">
    <w:name w:val="Heading 5 Char"/>
    <w:basedOn w:val="DefaultParagraphFont"/>
    <w:link w:val="Heading5"/>
    <w:locked/>
    <w:rsid w:val="00CB1536"/>
    <w:rPr>
      <w:lang w:val="cs-CZ" w:eastAsia="en-US" w:bidi="ar-SA"/>
    </w:rPr>
  </w:style>
  <w:style w:type="character" w:customStyle="1" w:styleId="Heading6Char">
    <w:name w:val="Heading 6 Char"/>
    <w:basedOn w:val="DefaultParagraphFont"/>
    <w:link w:val="Heading6"/>
    <w:locked/>
    <w:rsid w:val="00CB1536"/>
    <w:rPr>
      <w:lang w:val="cs-CZ" w:eastAsia="en-US" w:bidi="ar-SA"/>
    </w:rPr>
  </w:style>
  <w:style w:type="character" w:customStyle="1" w:styleId="Heading7Char">
    <w:name w:val="Heading 7 Char"/>
    <w:basedOn w:val="DefaultParagraphFont"/>
    <w:link w:val="Heading7"/>
    <w:locked/>
    <w:rsid w:val="00CB1536"/>
    <w:rPr>
      <w:lang w:val="cs-CZ" w:eastAsia="en-US" w:bidi="ar-SA"/>
    </w:rPr>
  </w:style>
  <w:style w:type="character" w:customStyle="1" w:styleId="Heading8Char">
    <w:name w:val="Heading 8 Char"/>
    <w:basedOn w:val="DefaultParagraphFont"/>
    <w:link w:val="Heading8"/>
    <w:locked/>
    <w:rsid w:val="00CB1536"/>
    <w:rPr>
      <w:lang w:val="cs-CZ" w:eastAsia="en-US" w:bidi="ar-SA"/>
    </w:rPr>
  </w:style>
  <w:style w:type="character" w:customStyle="1" w:styleId="Heading9Char">
    <w:name w:val="Heading 9 Char"/>
    <w:basedOn w:val="DefaultParagraphFont"/>
    <w:link w:val="Heading9"/>
    <w:locked/>
    <w:rsid w:val="00CB1536"/>
    <w:rPr>
      <w:lang w:val="cs-CZ" w:eastAsia="en-US" w:bidi="ar-SA"/>
    </w:rPr>
  </w:style>
  <w:style w:type="paragraph" w:styleId="Footer">
    <w:name w:val="footer"/>
    <w:basedOn w:val="Normal"/>
    <w:link w:val="FooterChar"/>
    <w:qFormat/>
    <w:rsid w:val="007E50BF"/>
  </w:style>
  <w:style w:type="character" w:customStyle="1" w:styleId="FooterChar">
    <w:name w:val="Footer Char"/>
    <w:basedOn w:val="DefaultParagraphFont"/>
    <w:link w:val="Footer"/>
    <w:locked/>
    <w:rsid w:val="00CB1536"/>
    <w:rPr>
      <w:lang w:eastAsia="en-US" w:bidi="ar-SA"/>
    </w:rPr>
  </w:style>
  <w:style w:type="paragraph" w:styleId="FootnoteText">
    <w:name w:val="footnote text"/>
    <w:basedOn w:val="Normal"/>
    <w:link w:val="FootnoteTextChar"/>
    <w:qFormat/>
    <w:rsid w:val="007E50BF"/>
    <w:pPr>
      <w:keepLines/>
      <w:spacing w:after="60" w:line="240" w:lineRule="auto"/>
      <w:ind w:left="567" w:hanging="567"/>
    </w:pPr>
    <w:rPr>
      <w:sz w:val="16"/>
    </w:rPr>
  </w:style>
  <w:style w:type="character" w:customStyle="1" w:styleId="FootnoteTextChar">
    <w:name w:val="Footnote Text Char"/>
    <w:basedOn w:val="DefaultParagraphFont"/>
    <w:link w:val="FootnoteText"/>
    <w:locked/>
    <w:rsid w:val="00CB1536"/>
    <w:rPr>
      <w:sz w:val="16"/>
      <w:lang w:val="cs-CZ" w:eastAsia="en-US" w:bidi="ar-SA"/>
    </w:rPr>
  </w:style>
  <w:style w:type="paragraph" w:styleId="Header">
    <w:name w:val="header"/>
    <w:basedOn w:val="Normal"/>
    <w:link w:val="HeaderChar"/>
    <w:qFormat/>
    <w:rsid w:val="007E50BF"/>
  </w:style>
  <w:style w:type="character" w:customStyle="1" w:styleId="HeaderChar">
    <w:name w:val="Header Char"/>
    <w:basedOn w:val="DefaultParagraphFont"/>
    <w:link w:val="Header"/>
    <w:locked/>
    <w:rsid w:val="00CB1536"/>
    <w:rPr>
      <w:lang w:eastAsia="en-US" w:bidi="ar-SA"/>
    </w:rPr>
  </w:style>
  <w:style w:type="character" w:styleId="Hyperlink">
    <w:name w:val="Hyperlink"/>
    <w:basedOn w:val="DefaultParagraphFont"/>
    <w:uiPriority w:val="99"/>
    <w:rsid w:val="00934C10"/>
    <w:rPr>
      <w:color w:val="0000FF"/>
      <w:u w:val="single"/>
    </w:rPr>
  </w:style>
  <w:style w:type="character" w:styleId="FootnoteReference">
    <w:name w:val="footnote reference"/>
    <w:basedOn w:val="DefaultParagraphFont"/>
    <w:unhideWhenUsed/>
    <w:qFormat/>
    <w:rsid w:val="007E50BF"/>
    <w:rPr>
      <w:sz w:val="24"/>
      <w:vertAlign w:val="superscript"/>
    </w:rPr>
  </w:style>
  <w:style w:type="character" w:styleId="FollowedHyperlink">
    <w:name w:val="FollowedHyperlink"/>
    <w:basedOn w:val="DefaultParagraphFont"/>
    <w:uiPriority w:val="99"/>
    <w:rsid w:val="00934C10"/>
    <w:rPr>
      <w:color w:val="800080"/>
      <w:u w:val="single"/>
    </w:rPr>
  </w:style>
  <w:style w:type="paragraph" w:customStyle="1" w:styleId="LOGO">
    <w:name w:val="LOGO"/>
    <w:basedOn w:val="Normal"/>
    <w:uiPriority w:val="99"/>
    <w:rsid w:val="00934C10"/>
    <w:pPr>
      <w:jc w:val="center"/>
    </w:pPr>
    <w:rPr>
      <w:rFonts w:ascii="Arial" w:hAnsi="Arial" w:cs="Arial"/>
      <w:b/>
      <w:bCs/>
      <w:i/>
      <w:iCs/>
      <w:sz w:val="20"/>
    </w:rPr>
  </w:style>
  <w:style w:type="paragraph" w:styleId="Revision">
    <w:name w:val="Revision"/>
    <w:hidden/>
    <w:uiPriority w:val="99"/>
    <w:semiHidden/>
    <w:rsid w:val="00B2372C"/>
  </w:style>
  <w:style w:type="paragraph" w:styleId="BalloonText">
    <w:name w:val="Balloon Text"/>
    <w:basedOn w:val="Normal"/>
    <w:link w:val="BalloonTextChar"/>
    <w:uiPriority w:val="99"/>
    <w:semiHidden/>
    <w:unhideWhenUsed/>
    <w:rsid w:val="007E50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50BF"/>
    <w:rPr>
      <w:rFonts w:ascii="Tahoma" w:hAnsi="Tahoma" w:cs="Tahoma"/>
      <w:sz w:val="16"/>
      <w:szCs w:val="16"/>
      <w:lang w:val="cs-CZ" w:eastAsia="en-US" w:bidi="ar-SA"/>
    </w:rPr>
  </w:style>
  <w:style w:type="paragraph" w:customStyle="1" w:styleId="quotes">
    <w:name w:val="quotes"/>
    <w:basedOn w:val="Normal"/>
    <w:next w:val="Normal"/>
    <w:rsid w:val="007E50BF"/>
    <w:pPr>
      <w:ind w:left="720"/>
    </w:pPr>
    <w:rPr>
      <w:i/>
    </w:rPr>
  </w:style>
  <w:style w:type="paragraph" w:styleId="NormalWeb">
    <w:name w:val="Normal (Web)"/>
    <w:basedOn w:val="Normal"/>
    <w:uiPriority w:val="99"/>
    <w:unhideWhenUsed/>
    <w:rsid w:val="00A41F84"/>
    <w:pPr>
      <w:spacing w:before="100" w:beforeAutospacing="1" w:after="100" w:afterAutospacing="1" w:line="240" w:lineRule="auto"/>
      <w:jc w:val="left"/>
    </w:pPr>
    <w:rPr>
      <w:sz w:val="24"/>
      <w:szCs w:val="24"/>
      <w:lang w:eastAsia="en-GB"/>
    </w:rPr>
  </w:style>
  <w:style w:type="character" w:customStyle="1" w:styleId="tlid-translation">
    <w:name w:val="tlid-translation"/>
    <w:basedOn w:val="DefaultParagraphFont"/>
    <w:rsid w:val="000B69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51657">
      <w:bodyDiv w:val="1"/>
      <w:marLeft w:val="0"/>
      <w:marRight w:val="0"/>
      <w:marTop w:val="0"/>
      <w:marBottom w:val="0"/>
      <w:divBdr>
        <w:top w:val="none" w:sz="0" w:space="0" w:color="auto"/>
        <w:left w:val="none" w:sz="0" w:space="0" w:color="auto"/>
        <w:bottom w:val="none" w:sz="0" w:space="0" w:color="auto"/>
        <w:right w:val="none" w:sz="0" w:space="0" w:color="auto"/>
      </w:divBdr>
      <w:divsChild>
        <w:div w:id="1470317778">
          <w:marLeft w:val="0"/>
          <w:marRight w:val="0"/>
          <w:marTop w:val="0"/>
          <w:marBottom w:val="0"/>
          <w:divBdr>
            <w:top w:val="none" w:sz="0" w:space="0" w:color="auto"/>
            <w:left w:val="none" w:sz="0" w:space="0" w:color="auto"/>
            <w:bottom w:val="none" w:sz="0" w:space="0" w:color="auto"/>
            <w:right w:val="none" w:sz="0" w:space="0" w:color="auto"/>
          </w:divBdr>
          <w:divsChild>
            <w:div w:id="725954212">
              <w:marLeft w:val="0"/>
              <w:marRight w:val="0"/>
              <w:marTop w:val="0"/>
              <w:marBottom w:val="0"/>
              <w:divBdr>
                <w:top w:val="none" w:sz="0" w:space="0" w:color="auto"/>
                <w:left w:val="none" w:sz="0" w:space="0" w:color="auto"/>
                <w:bottom w:val="none" w:sz="0" w:space="0" w:color="auto"/>
                <w:right w:val="none" w:sz="0" w:space="0" w:color="auto"/>
              </w:divBdr>
              <w:divsChild>
                <w:div w:id="236595971">
                  <w:marLeft w:val="0"/>
                  <w:marRight w:val="0"/>
                  <w:marTop w:val="0"/>
                  <w:marBottom w:val="0"/>
                  <w:divBdr>
                    <w:top w:val="none" w:sz="0" w:space="0" w:color="auto"/>
                    <w:left w:val="none" w:sz="0" w:space="0" w:color="auto"/>
                    <w:bottom w:val="none" w:sz="0" w:space="0" w:color="auto"/>
                    <w:right w:val="none" w:sz="0" w:space="0" w:color="auto"/>
                  </w:divBdr>
                  <w:divsChild>
                    <w:div w:id="1632202513">
                      <w:marLeft w:val="0"/>
                      <w:marRight w:val="0"/>
                      <w:marTop w:val="0"/>
                      <w:marBottom w:val="0"/>
                      <w:divBdr>
                        <w:top w:val="none" w:sz="0" w:space="0" w:color="auto"/>
                        <w:left w:val="none" w:sz="0" w:space="0" w:color="auto"/>
                        <w:bottom w:val="none" w:sz="0" w:space="0" w:color="auto"/>
                        <w:right w:val="none" w:sz="0" w:space="0" w:color="auto"/>
                      </w:divBdr>
                      <w:divsChild>
                        <w:div w:id="307831129">
                          <w:marLeft w:val="0"/>
                          <w:marRight w:val="0"/>
                          <w:marTop w:val="0"/>
                          <w:marBottom w:val="0"/>
                          <w:divBdr>
                            <w:top w:val="none" w:sz="0" w:space="0" w:color="auto"/>
                            <w:left w:val="none" w:sz="0" w:space="0" w:color="auto"/>
                            <w:bottom w:val="none" w:sz="0" w:space="0" w:color="auto"/>
                            <w:right w:val="none" w:sz="0" w:space="0" w:color="auto"/>
                          </w:divBdr>
                          <w:divsChild>
                            <w:div w:id="1178159236">
                              <w:marLeft w:val="0"/>
                              <w:marRight w:val="300"/>
                              <w:marTop w:val="180"/>
                              <w:marBottom w:val="0"/>
                              <w:divBdr>
                                <w:top w:val="none" w:sz="0" w:space="0" w:color="auto"/>
                                <w:left w:val="none" w:sz="0" w:space="0" w:color="auto"/>
                                <w:bottom w:val="none" w:sz="0" w:space="0" w:color="auto"/>
                                <w:right w:val="none" w:sz="0" w:space="0" w:color="auto"/>
                              </w:divBdr>
                              <w:divsChild>
                                <w:div w:id="53997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7807172">
          <w:marLeft w:val="0"/>
          <w:marRight w:val="0"/>
          <w:marTop w:val="0"/>
          <w:marBottom w:val="0"/>
          <w:divBdr>
            <w:top w:val="none" w:sz="0" w:space="0" w:color="auto"/>
            <w:left w:val="none" w:sz="0" w:space="0" w:color="auto"/>
            <w:bottom w:val="none" w:sz="0" w:space="0" w:color="auto"/>
            <w:right w:val="none" w:sz="0" w:space="0" w:color="auto"/>
          </w:divBdr>
          <w:divsChild>
            <w:div w:id="1692758535">
              <w:marLeft w:val="0"/>
              <w:marRight w:val="0"/>
              <w:marTop w:val="0"/>
              <w:marBottom w:val="0"/>
              <w:divBdr>
                <w:top w:val="none" w:sz="0" w:space="0" w:color="auto"/>
                <w:left w:val="none" w:sz="0" w:space="0" w:color="auto"/>
                <w:bottom w:val="none" w:sz="0" w:space="0" w:color="auto"/>
                <w:right w:val="none" w:sz="0" w:space="0" w:color="auto"/>
              </w:divBdr>
              <w:divsChild>
                <w:div w:id="2128621914">
                  <w:marLeft w:val="0"/>
                  <w:marRight w:val="0"/>
                  <w:marTop w:val="0"/>
                  <w:marBottom w:val="0"/>
                  <w:divBdr>
                    <w:top w:val="none" w:sz="0" w:space="0" w:color="auto"/>
                    <w:left w:val="none" w:sz="0" w:space="0" w:color="auto"/>
                    <w:bottom w:val="none" w:sz="0" w:space="0" w:color="auto"/>
                    <w:right w:val="none" w:sz="0" w:space="0" w:color="auto"/>
                  </w:divBdr>
                  <w:divsChild>
                    <w:div w:id="526602212">
                      <w:marLeft w:val="0"/>
                      <w:marRight w:val="0"/>
                      <w:marTop w:val="0"/>
                      <w:marBottom w:val="0"/>
                      <w:divBdr>
                        <w:top w:val="none" w:sz="0" w:space="0" w:color="auto"/>
                        <w:left w:val="none" w:sz="0" w:space="0" w:color="auto"/>
                        <w:bottom w:val="none" w:sz="0" w:space="0" w:color="auto"/>
                        <w:right w:val="none" w:sz="0" w:space="0" w:color="auto"/>
                      </w:divBdr>
                      <w:divsChild>
                        <w:div w:id="128604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759771">
      <w:bodyDiv w:val="1"/>
      <w:marLeft w:val="0"/>
      <w:marRight w:val="0"/>
      <w:marTop w:val="0"/>
      <w:marBottom w:val="0"/>
      <w:divBdr>
        <w:top w:val="none" w:sz="0" w:space="0" w:color="auto"/>
        <w:left w:val="none" w:sz="0" w:space="0" w:color="auto"/>
        <w:bottom w:val="none" w:sz="0" w:space="0" w:color="auto"/>
        <w:right w:val="none" w:sz="0" w:space="0" w:color="auto"/>
      </w:divBdr>
    </w:div>
    <w:div w:id="202400415">
      <w:bodyDiv w:val="1"/>
      <w:marLeft w:val="0"/>
      <w:marRight w:val="0"/>
      <w:marTop w:val="0"/>
      <w:marBottom w:val="0"/>
      <w:divBdr>
        <w:top w:val="none" w:sz="0" w:space="0" w:color="auto"/>
        <w:left w:val="none" w:sz="0" w:space="0" w:color="auto"/>
        <w:bottom w:val="none" w:sz="0" w:space="0" w:color="auto"/>
        <w:right w:val="none" w:sz="0" w:space="0" w:color="auto"/>
      </w:divBdr>
    </w:div>
    <w:div w:id="241837224">
      <w:bodyDiv w:val="1"/>
      <w:marLeft w:val="0"/>
      <w:marRight w:val="0"/>
      <w:marTop w:val="0"/>
      <w:marBottom w:val="0"/>
      <w:divBdr>
        <w:top w:val="none" w:sz="0" w:space="0" w:color="auto"/>
        <w:left w:val="none" w:sz="0" w:space="0" w:color="auto"/>
        <w:bottom w:val="none" w:sz="0" w:space="0" w:color="auto"/>
        <w:right w:val="none" w:sz="0" w:space="0" w:color="auto"/>
      </w:divBdr>
    </w:div>
    <w:div w:id="672949853">
      <w:bodyDiv w:val="1"/>
      <w:marLeft w:val="0"/>
      <w:marRight w:val="0"/>
      <w:marTop w:val="0"/>
      <w:marBottom w:val="0"/>
      <w:divBdr>
        <w:top w:val="none" w:sz="0" w:space="0" w:color="auto"/>
        <w:left w:val="none" w:sz="0" w:space="0" w:color="auto"/>
        <w:bottom w:val="none" w:sz="0" w:space="0" w:color="auto"/>
        <w:right w:val="none" w:sz="0" w:space="0" w:color="auto"/>
      </w:divBdr>
    </w:div>
    <w:div w:id="862091169">
      <w:bodyDiv w:val="1"/>
      <w:marLeft w:val="0"/>
      <w:marRight w:val="0"/>
      <w:marTop w:val="0"/>
      <w:marBottom w:val="0"/>
      <w:divBdr>
        <w:top w:val="none" w:sz="0" w:space="0" w:color="auto"/>
        <w:left w:val="none" w:sz="0" w:space="0" w:color="auto"/>
        <w:bottom w:val="none" w:sz="0" w:space="0" w:color="auto"/>
        <w:right w:val="none" w:sz="0" w:space="0" w:color="auto"/>
      </w:divBdr>
    </w:div>
    <w:div w:id="1089891756">
      <w:bodyDiv w:val="1"/>
      <w:marLeft w:val="0"/>
      <w:marRight w:val="0"/>
      <w:marTop w:val="0"/>
      <w:marBottom w:val="0"/>
      <w:divBdr>
        <w:top w:val="none" w:sz="0" w:space="0" w:color="auto"/>
        <w:left w:val="none" w:sz="0" w:space="0" w:color="auto"/>
        <w:bottom w:val="none" w:sz="0" w:space="0" w:color="auto"/>
        <w:right w:val="none" w:sz="0" w:space="0" w:color="auto"/>
      </w:divBdr>
    </w:div>
    <w:div w:id="1504784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18" Type="http://schemas.openxmlformats.org/officeDocument/2006/relationships/customXml" Target="../customXml/item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legal-content/CS/TXT/?uri=CELEX:52020PC0595&amp;qid=1605625322451" TargetMode="External"/><Relationship Id="rId3" Type="http://schemas.openxmlformats.org/officeDocument/2006/relationships/hyperlink" Target="https://eur-lex.europa.eu/legal-content/CS/TXT/?uri=CELEX:52020PC0593&amp;qid=1605625281051" TargetMode="External"/><Relationship Id="rId7" Type="http://schemas.openxmlformats.org/officeDocument/2006/relationships/hyperlink" Target="https://eur-lex.europa.eu/LexUriServ/LexUriServ.do?uri=OJ:C:2020:429:SOM:CS:HTML" TargetMode="External"/><Relationship Id="rId2" Type="http://schemas.openxmlformats.org/officeDocument/2006/relationships/hyperlink" Target="https://eur-lex.europa.eu/legal-content/CS/TXT/?uri=COM:2020:0592:FIN" TargetMode="External"/><Relationship Id="rId1" Type="http://schemas.openxmlformats.org/officeDocument/2006/relationships/hyperlink" Target="https://eur-lex.europa.eu/legal-content/CS/TXT/?uri=CELEX:52020DC0591" TargetMode="External"/><Relationship Id="rId6" Type="http://schemas.openxmlformats.org/officeDocument/2006/relationships/hyperlink" Target="https://eur-lex.europa.eu/legal-content/CS/TXT/?uri=CELEX:52020PC0596&amp;qid=1605625359281" TargetMode="External"/><Relationship Id="rId5" Type="http://schemas.openxmlformats.org/officeDocument/2006/relationships/hyperlink" Target="https://eur-lex.europa.eu/legal-content/CS/TXT/?uri=CELEX:52020PC0595&amp;qid=1605625322451" TargetMode="External"/><Relationship Id="rId4" Type="http://schemas.openxmlformats.org/officeDocument/2006/relationships/hyperlink" Target="https://eur-lex.europa.eu/legal-content/CS/TXT/?uri=CELEX:52020PC0594" TargetMode="External"/><Relationship Id="rId9" Type="http://schemas.openxmlformats.org/officeDocument/2006/relationships/hyperlink" Target="https://www.eesc.europa.eu/cs/our-work/opinions-information-reports/opinions/digital-operational-resilience"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B2B329A7DAC4C144A75447C3256C027E" ma:contentTypeVersion="5" ma:contentTypeDescription="Defines the documents for Document Manager V2" ma:contentTypeScope="" ma:versionID="0d91993552fe3556fbffcde22d41e5eb">
  <xsd:schema xmlns:xsd="http://www.w3.org/2001/XMLSchema" xmlns:xs="http://www.w3.org/2001/XMLSchema" xmlns:p="http://schemas.microsoft.com/office/2006/metadata/properties" xmlns:ns2="cda99570-6012-4083-bfeb-7d32ad1ce1a3" xmlns:ns3="http://schemas.microsoft.com/sharepoint/v3/fields" xmlns:ns4="fe314fe7-af03-4a89-9224-0704990312b2" targetNamespace="http://schemas.microsoft.com/office/2006/metadata/properties" ma:root="true" ma:fieldsID="8ecbf314780697a2217be5444707e891" ns2:_="" ns3:_="" ns4:_="">
    <xsd:import namespace="cda99570-6012-4083-bfeb-7d32ad1ce1a3"/>
    <xsd:import namespace="http://schemas.microsoft.com/sharepoint/v3/fields"/>
    <xsd:import namespace="fe314fe7-af03-4a89-9224-0704990312b2"/>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a99570-6012-4083-bfeb-7d32ad1ce1a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0d0d295d-627a-4c5d-a1a5-11c9952cac30}" ma:internalName="TaxCatchAll" ma:showField="CatchAllData"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0d0d295d-627a-4c5d-a1a5-11c9952cac30}" ma:internalName="TaxCatchAllLabel" ma:readOnly="true" ma:showField="CatchAllDataLabel" ma:web="cda99570-6012-4083-bfeb-7d32ad1ce1a3">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e314fe7-af03-4a89-9224-0704990312b2"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cda99570-6012-4083-bfeb-7d32ad1ce1a3">VV634QRNENMJ-592872750-7301</_dlc_DocId>
    <_dlc_DocIdUrl xmlns="cda99570-6012-4083-bfeb-7d32ad1ce1a3">
      <Url>http://dm2016/eesc/2020/_layouts/15/DocIdRedir.aspx?ID=VV634QRNENMJ-592872750-7301</Url>
      <Description>VV634QRNENMJ-592872750-7301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cda99570-6012-4083-bfeb-7d32ad1ce1a3"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cda99570-6012-4083-bfeb-7d32ad1ce1a3">2021-03-01T12:00:00+00:00</ProductionDate>
    <FicheYear xmlns="cda99570-6012-4083-bfeb-7d32ad1ce1a3">2020</FicheYear>
    <DocumentNumber xmlns="fe314fe7-af03-4a89-9224-0704990312b2">4935</DocumentNumber>
    <DocumentVersion xmlns="cda99570-6012-4083-bfeb-7d32ad1ce1a3">0</DocumentVersion>
    <DossierNumber xmlns="cda99570-6012-4083-bfeb-7d32ad1ce1a3">534</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cda99570-6012-4083-bfeb-7d32ad1ce1a3" xsi:nil="true"/>
    <TaxCatchAll xmlns="cda99570-6012-4083-bfeb-7d32ad1ce1a3">
      <Value>80</Value>
      <Value>70</Value>
      <Value>48</Value>
      <Value>47</Value>
      <Value>46</Value>
      <Value>45</Value>
      <Value>44</Value>
      <Value>43</Value>
      <Value>41</Value>
      <Value>40</Value>
      <Value>39</Value>
      <Value>38</Value>
      <Value>36</Value>
      <Value>34</Value>
      <Value>32</Value>
      <Value>31</Value>
      <Value>30</Value>
      <Value>29</Value>
      <Value>24</Value>
      <Value>16</Value>
      <Value>13</Value>
      <Value>11</Value>
      <Value>10</Value>
      <Value>9</Value>
      <Value>6</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CS</TermName>
          <TermId xmlns="http://schemas.microsoft.com/office/infopath/2007/PartnerControls">72f9705b-0217-4fd3-bea2-cbc7ed80e26e</TermId>
        </TermInfo>
      </Terms>
    </DocumentLanguage_0>
    <Rapporteur xmlns="cda99570-6012-4083-bfeb-7d32ad1ce1a3">DANDEA &amp; FRANK VON FÜRSTENWERTH</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cda99570-6012-4083-bfeb-7d32ad1ce1a3">2020</DocumentYear>
    <FicheNumber xmlns="cda99570-6012-4083-bfeb-7d32ad1ce1a3">1570</FicheNumber>
    <DocumentPart xmlns="cda99570-6012-4083-bfeb-7d32ad1ce1a3">0</DocumentPart>
    <AdoptionDate xmlns="cda99570-6012-4083-bfeb-7d32ad1ce1a3">2021-02-24T12:00:00+00:00</AdoptionDate>
    <RequestingService xmlns="cda99570-6012-4083-bfeb-7d32ad1ce1a3">Union économique et monétaire et cohésion économique et sociale</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fe314fe7-af03-4a89-9224-0704990312b2"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ECO</TermName>
          <TermId xmlns="http://schemas.microsoft.com/office/infopath/2007/PartnerControls">8df351f5-c957-404c-8cf3-8ffb22c9cba2</TermId>
        </TermInfo>
      </Terms>
    </DossierName_0>
    <OriginalSender xmlns="cda99570-6012-4083-bfeb-7d32ad1ce1a3">
      <UserInfo>
        <DisplayName/>
        <AccountId xsi:nil="true"/>
        <AccountType/>
      </UserInfo>
    </OriginalSender>
  </documentManagement>
</p:properties>
</file>

<file path=customXml/itemProps1.xml><?xml version="1.0" encoding="utf-8"?>
<ds:datastoreItem xmlns:ds="http://schemas.openxmlformats.org/officeDocument/2006/customXml" ds:itemID="{25553357-475F-43B9-8826-8544375F1BA9}"/>
</file>

<file path=customXml/itemProps2.xml><?xml version="1.0" encoding="utf-8"?>
<ds:datastoreItem xmlns:ds="http://schemas.openxmlformats.org/officeDocument/2006/customXml" ds:itemID="{1BE90207-9702-4812-B8C9-7D105C328692}"/>
</file>

<file path=customXml/itemProps3.xml><?xml version="1.0" encoding="utf-8"?>
<ds:datastoreItem xmlns:ds="http://schemas.openxmlformats.org/officeDocument/2006/customXml" ds:itemID="{44464624-35E6-4E5A-AA83-7F8D748C0B07}"/>
</file>

<file path=customXml/itemProps4.xml><?xml version="1.0" encoding="utf-8"?>
<ds:datastoreItem xmlns:ds="http://schemas.openxmlformats.org/officeDocument/2006/customXml" ds:itemID="{CF2DA22F-700C-4068-8527-448F8B1A9F92}"/>
</file>

<file path=docProps/app.xml><?xml version="1.0" encoding="utf-8"?>
<Properties xmlns="http://schemas.openxmlformats.org/officeDocument/2006/extended-properties" xmlns:vt="http://schemas.openxmlformats.org/officeDocument/2006/docPropsVTypes">
  <Template>Styles</Template>
  <TotalTime>6</TotalTime>
  <Pages>7</Pages>
  <Words>1563</Words>
  <Characters>10725</Characters>
  <Application>Microsoft Office Word</Application>
  <DocSecurity>0</DocSecurity>
  <Lines>195</Lines>
  <Paragraphs>67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Digital Finance Strategy</vt:lpstr>
      <vt:lpstr>European Agenda on Migration: Second implementation package - A permanent crisis relocation mechanism under the Dublin system</vt:lpstr>
    </vt:vector>
  </TitlesOfParts>
  <Company>CESE-CdR</Company>
  <LinksUpToDate>false</LinksUpToDate>
  <CharactersWithSpaces>12221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Strategie v oblasti digitálních financí</dc:title>
  <dc:creator>Tomas Vocasek</dc:creator>
  <cp:keywords>EESC-2020-04935-00-00-AC-TRA-EN</cp:keywords>
  <dc:description>Rapporteur: DANDEA &amp; FRANK VON FÜRSTENWERTH - Original language: EN - Date of document: 01/03/2021 - Date of meeting:  - External documents: COM(2020)591-final - Administrator: M. KLEC Gerald</dc:description>
  <cp:lastModifiedBy>Drnovska Daniela</cp:lastModifiedBy>
  <cp:revision>8</cp:revision>
  <cp:lastPrinted>2016-01-26T08:31:00Z</cp:lastPrinted>
  <dcterms:created xsi:type="dcterms:W3CDTF">2021-03-01T07:31:00Z</dcterms:created>
  <dcterms:modified xsi:type="dcterms:W3CDTF">2021-03-01T13:00:00Z</dcterms:modified>
  <cp:category>ECO/534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01/03/2021, 01/03/2021, 15/02/2021, 15/02/2021, 22/01/2021, 23/12/2020, 18/11/2020, 04/11/2015, 27/10/2015, 19/10/2015, 09/10/2015, 05/10/2015, 05/10/2015, 26/08/2015, 26/08/2015, 25/08/2015</vt:lpwstr>
  </property>
  <property fmtid="{D5CDD505-2E9C-101B-9397-08002B2CF9AE}" pid="4" name="Pref_Time">
    <vt:lpwstr>08:30:24, 07:50:27, 15:23:31, 15:13:12, 16:30:18, 09:06:56, 15:35:38, 12:10:07, 14:44:02, 16:04:16, 14:09:30, 16:24:55, 16:04:02, 08:56:14, 07:27:56, 17:31:53</vt:lpwstr>
  </property>
  <property fmtid="{D5CDD505-2E9C-101B-9397-08002B2CF9AE}" pid="5" name="Pref_User">
    <vt:lpwstr>enied, YMUR, enied, YMUR, hnic, enied, mkop, ssex, enied, amett, tvoc, mreg, mreg, amett, enied, ssex</vt:lpwstr>
  </property>
  <property fmtid="{D5CDD505-2E9C-101B-9397-08002B2CF9AE}" pid="6" name="Pref_FileName">
    <vt:lpwstr>EESC-2020-04935-00-00-AC-TRA-EN-CRR.docx, EESC-2020-04935-00-00-AC-CRR-EN.docx, EESC-2020-04935-00-00-AS-TRA-EN-CRR.docx, EESC-2020-04935-00-00-AS-CRR-EN.docx, EESC-2020-04935-00-00-PA-ORI.docx, EESC-2020-04935-00-00-APA-ORI.docx, EESC-2020-04935-00-00-DT</vt:lpwstr>
  </property>
  <property fmtid="{D5CDD505-2E9C-101B-9397-08002B2CF9AE}" pid="7" name="ContentTypeId">
    <vt:lpwstr>0x010100EA97B91038054C99906057A708A1480A00B2B329A7DAC4C144A75447C3256C027E</vt:lpwstr>
  </property>
  <property fmtid="{D5CDD505-2E9C-101B-9397-08002B2CF9AE}" pid="8" name="_dlc_DocIdItemGuid">
    <vt:lpwstr>94832ee8-160e-423f-a5fd-6a98c607c667</vt:lpwstr>
  </property>
  <property fmtid="{D5CDD505-2E9C-101B-9397-08002B2CF9AE}" pid="9" name="AvailableTranslations">
    <vt:lpwstr>46;#SK|46d9fce0-ef79-4f71-b89b-cd6aa82426b8;#40;#SV|c2ed69e7-a339-43d7-8f22-d93680a92aa0;#13;#IT|0774613c-01ed-4e5d-a25d-11d2388de825;#44;#BG|1a1b3951-7821-4e6a-85f5-5673fc08bd2c;#32;#DA|5d49c027-8956-412b-aa16-e85a0f96ad0e;#47;#ET|ff6c3f4c-b02c-4c3c-ab07-2c37995a7a0a;#4;#EN|f2175f21-25d7-44a3-96da-d6a61b075e1b;#48;#RO|feb747a2-64cd-4299-af12-4833ddc30497;#10;#DE|f6b31e5a-26fa-4935-b661-318e46daf27e;#45;#FI|87606a43-d45f-42d6-b8c9-e1a3457db5b7;#36;#MT|7df99101-6854-4a26-b53a-b88c0da02c26;#9;#PL|1e03da61-4678-4e07-b136-b5024ca9197b;#31;#CS|72f9705b-0217-4fd3-bea2-cbc7ed80e26e;#29;#PT|50ccc04a-eadd-42ae-a0cb-acaf45f812ba;#30;#LT|a7ff5ce7-6123-4f68-865a-a57c31810414;#39;#HU|6b229040-c589-4408-b4c1-4285663d20a8;#43;#HR|2f555653-ed1a-4fe6-8362-9082d95989e5;#16;#ES|e7a6b05b-ae16-40c8-add9-68b64b03aeba;#41;#NL|55c6556c-b4f4-441d-9acf-c498d4f838bd;#24;#LV|46f7e311-5d9f-4663-b433-18aeccb7ace7;#38;#EL|6d4f4d51-af9b-4650-94b4-4276bee85c91;#11;#FR|d2afafd3-4c81-4f60-8f52-ee33f2f54ff3;#34;#SL|98a412ae-eb01-49e9-ae3d-585a81724cfc</vt:lpwstr>
  </property>
  <property fmtid="{D5CDD505-2E9C-101B-9397-08002B2CF9AE}" pid="10" name="DocumentType_0">
    <vt:lpwstr>AC|a4cc1d15-fb08-4679-ad46-e4e0cba5fe92</vt:lpwstr>
  </property>
  <property fmtid="{D5CDD505-2E9C-101B-9397-08002B2CF9AE}" pid="11" name="DossierName_0">
    <vt:lpwstr>ECO|8df351f5-c957-404c-8cf3-8ffb22c9cba2</vt:lpwstr>
  </property>
  <property fmtid="{D5CDD505-2E9C-101B-9397-08002B2CF9AE}" pid="12" name="DocumentSource_0">
    <vt:lpwstr>EESC|422833ec-8d7e-4e65-8e4e-8bed07ffb729</vt:lpwstr>
  </property>
  <property fmtid="{D5CDD505-2E9C-101B-9397-08002B2CF9AE}" pid="13" name="DocumentNumber">
    <vt:i4>4935</vt:i4>
  </property>
  <property fmtid="{D5CDD505-2E9C-101B-9397-08002B2CF9AE}" pid="14" name="FicheYear">
    <vt:i4>2020</vt:i4>
  </property>
  <property fmtid="{D5CDD505-2E9C-101B-9397-08002B2CF9AE}" pid="15" name="DocumentVersion">
    <vt:i4>0</vt:i4>
  </property>
  <property fmtid="{D5CDD505-2E9C-101B-9397-08002B2CF9AE}" pid="16" name="DossierNumber">
    <vt:i4>534</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80;#ECO|8df351f5-c957-404c-8cf3-8ffb22c9cba2</vt:lpwstr>
  </property>
  <property fmtid="{D5CDD505-2E9C-101B-9397-08002B2CF9AE}" pid="20" name="DocumentSource">
    <vt:lpwstr>1;#EESC|422833ec-8d7e-4e65-8e4e-8bed07ffb729</vt:lpwstr>
  </property>
  <property fmtid="{D5CDD505-2E9C-101B-9397-08002B2CF9AE}" pid="21" name="AdoptionDate">
    <vt:filetime>2021-02-24T12:00:00Z</vt:filetime>
  </property>
  <property fmtid="{D5CDD505-2E9C-101B-9397-08002B2CF9AE}" pid="22" name="DocumentType">
    <vt:lpwstr>70;#AC|a4cc1d15-fb08-4679-ad46-e4e0cba5fe92</vt:lpwstr>
  </property>
  <property fmtid="{D5CDD505-2E9C-101B-9397-08002B2CF9AE}" pid="23" name="RequestingService">
    <vt:lpwstr>Union économique et monétaire et cohésion économique et sociale</vt:lpwstr>
  </property>
  <property fmtid="{D5CDD505-2E9C-101B-9397-08002B2CF9AE}" pid="24" name="Confidentiality">
    <vt:lpwstr>5;#Unrestricted|826e22d7-d029-4ec0-a450-0c28ff673572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4;#EN|f2175f21-25d7-44a3-96da-d6a61b075e1b</vt:lpwstr>
  </property>
  <property fmtid="{D5CDD505-2E9C-101B-9397-08002B2CF9AE}" pid="28" name="MeetingName">
    <vt:lpwstr/>
  </property>
  <property fmtid="{D5CDD505-2E9C-101B-9397-08002B2CF9AE}" pid="30" name="AvailableTranslations_0">
    <vt:lpwstr>SK|46d9fce0-ef79-4f71-b89b-cd6aa82426b8;DA|5d49c027-8956-412b-aa16-e85a0f96ad0e;EN|f2175f21-25d7-44a3-96da-d6a61b075e1b;DE|f6b31e5a-26fa-4935-b661-318e46daf27e;MT|7df99101-6854-4a26-b53a-b88c0da02c26;PT|50ccc04a-eadd-42ae-a0cb-acaf45f812ba;ES|e7a6b05b-ae16-40c8-add9-68b64b03aeba;NL|55c6556c-b4f4-441d-9acf-c498d4f838bd</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MT|7df99101-6854-4a26-b53a-b88c0da02c26;#70;#AC|a4cc1d15-fb08-4679-ad46-e4e0cba5fe92;#32;#DA|5d49c027-8956-412b-aa16-e85a0f96ad0e;#29;#PT|50ccc04a-eadd-42ae-a0cb-acaf45f812ba;#80;#ECO|8df351f5-c957-404c-8cf3-8ffb22c9cba2;#16;#ES|e7a6b05b-ae16-40c8-add9-68b64b03aeba;#10;#DE|f6b31e5a-26fa-4935-b661-318e46daf27e;#46;#SK|46d9fce0-ef79-4f71-b89b-cd6aa82426b8;#41;#NL|55c6556c-b4f4-441d-9acf-c498d4f838bd;#6;#Final|ea5e6674-7b27-4bac-b091-73adbb394efe;#5;#Unrestricted|826e22d7-d029-4ec0-a450-0c28ff673572;#4;#EN|f2175f21-25d7-44a3-96da-d6a61b075e1b;#2;#TRA|150d2a88-1431-44e6-a8ca-0bb753ab8672;#1;#EESC|422833ec-8d7e-4e65-8e4e-8bed07ffb729</vt:lpwstr>
  </property>
  <property fmtid="{D5CDD505-2E9C-101B-9397-08002B2CF9AE}" pid="34" name="Rapporteur">
    <vt:lpwstr>DANDEA &amp; FRANK VON FÜRSTENWERTH</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2020</vt:i4>
  </property>
  <property fmtid="{D5CDD505-2E9C-101B-9397-08002B2CF9AE}" pid="38" name="FicheNumber">
    <vt:i4>1570</vt:i4>
  </property>
  <property fmtid="{D5CDD505-2E9C-101B-9397-08002B2CF9AE}" pid="39" name="DocumentLanguage">
    <vt:lpwstr>31;#CS|72f9705b-0217-4fd3-bea2-cbc7ed80e26e</vt:lpwstr>
  </property>
  <property fmtid="{D5CDD505-2E9C-101B-9397-08002B2CF9AE}" pid="40" name="_docset_NoMedatataSyncRequired">
    <vt:lpwstr>False</vt:lpwstr>
  </property>
</Properties>
</file>