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986FF8" w:rsidP="008C74D9">
      <w:pPr>
        <w:jc w:val="center"/>
      </w:pPr>
      <w:bookmarkStart w:id="0" w:name="_GoBack"/>
      <w:bookmarkEnd w:id="0"/>
      <w:r>
        <w:rPr>
          <w:noProof/>
          <w:lang w:val="en-US"/>
        </w:rPr>
        <w:drawing>
          <wp:inline distT="0" distB="0" distL="0" distR="0">
            <wp:extent cx="1792605" cy="1239520"/>
            <wp:effectExtent l="0" t="0" r="0" b="0"/>
            <wp:docPr id="1" name="Picture 1" title="EESCLogo_E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EL</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Στρατηγική ψηφιακών χρηματοοικονομικών υπηρεσιών</w:t>
      </w:r>
    </w:p>
    <w:p w:rsidR="009B30AA" w:rsidRPr="00FC35C5" w:rsidRDefault="009B30AA" w:rsidP="0015678B"/>
    <w:p w:rsidR="009B30AA" w:rsidRPr="00FC35C5" w:rsidRDefault="009B30AA" w:rsidP="0015678B"/>
    <w:p w:rsidR="00646AC2" w:rsidRPr="00FC35C5" w:rsidRDefault="00804B96" w:rsidP="0015678B">
      <w:pPr>
        <w:jc w:val="center"/>
      </w:pPr>
      <w:r>
        <w:rPr>
          <w:b/>
          <w:sz w:val="28"/>
        </w:rPr>
        <w:t>ΓΝΩΜΟΔΟΤΗΣΗ</w:t>
      </w:r>
      <w:r>
        <w:br/>
      </w:r>
      <w:r>
        <w:br/>
        <w:t>Ευρωπαϊκή Οικονομική και Κοινωνική Επιτροπή</w:t>
      </w:r>
      <w:r>
        <w:br/>
      </w:r>
      <w:r>
        <w:br/>
      </w:r>
      <w:r>
        <w:rPr>
          <w:b/>
        </w:rPr>
        <w:t>Ανακοίνωση της Επιτροπής προς το Ευρωπαϊκό Κοινοβούλιο, το Συμβούλιο, την Ευρωπαϊκή Οικονομική και Κοινωνική Επιτροπή και την Επιτροπή των Περιφερειών</w:t>
      </w:r>
      <w:r>
        <w:rPr>
          <w:b/>
        </w:rPr>
        <w:br/>
        <w:t>Μια στρατηγική ψηφιακών χρηματοοικονομικών υπηρεσιών για την ΕΕ</w:t>
      </w:r>
      <w:r>
        <w:br/>
        <w:t>[COM(2020) 591 final]</w:t>
      </w:r>
    </w:p>
    <w:p w:rsidR="009B30AA" w:rsidRPr="00FC35C5" w:rsidRDefault="009B30AA" w:rsidP="0015678B">
      <w:pPr>
        <w:jc w:val="center"/>
      </w:pPr>
    </w:p>
    <w:p w:rsidR="00704FBB" w:rsidRPr="00FC35C5" w:rsidRDefault="007F5E0D" w:rsidP="0015678B">
      <w:pPr>
        <w:jc w:val="center"/>
        <w:rPr>
          <w:b/>
        </w:rPr>
      </w:pPr>
      <w:r>
        <w:t xml:space="preserve">Εισηγητής: </w:t>
      </w:r>
      <w:r>
        <w:rPr>
          <w:b/>
        </w:rPr>
        <w:t>Petru Sorin DANDEA</w:t>
      </w:r>
    </w:p>
    <w:p w:rsidR="00E97E0E" w:rsidRPr="00FC35C5" w:rsidRDefault="00840F00" w:rsidP="0015678B">
      <w:pPr>
        <w:jc w:val="center"/>
        <w:rPr>
          <w:b/>
        </w:rPr>
      </w:pPr>
      <w:r>
        <w:t xml:space="preserve">Συνεισηγητής: </w:t>
      </w:r>
      <w:r>
        <w:rPr>
          <w:b/>
        </w:rPr>
        <w:t>Jörg Freiherr FRANK VON FÜRSTENWERTH</w:t>
      </w:r>
    </w:p>
    <w:p w:rsidR="00E97E0E" w:rsidRDefault="00E97E0E" w:rsidP="0015678B">
      <w:pPr>
        <w:sectPr w:rsidR="00E97E0E" w:rsidSect="00251233">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Αίτηση γνωμοδότησης</w:t>
            </w:r>
          </w:p>
        </w:tc>
        <w:tc>
          <w:tcPr>
            <w:tcW w:w="6018" w:type="dxa"/>
          </w:tcPr>
          <w:p w:rsidR="0011656A" w:rsidRPr="00FC35C5" w:rsidRDefault="00222006" w:rsidP="00AE1808">
            <w:pPr>
              <w:jc w:val="left"/>
            </w:pPr>
            <w:r>
              <w:t>Ευρωπαϊκή Επιτροπή, 11/11/2020</w:t>
            </w:r>
          </w:p>
        </w:tc>
      </w:tr>
      <w:tr w:rsidR="0016503F" w:rsidRPr="00FC35C5" w:rsidTr="00E670BD">
        <w:trPr>
          <w:trHeight w:val="251"/>
        </w:trPr>
        <w:tc>
          <w:tcPr>
            <w:tcW w:w="3055" w:type="dxa"/>
          </w:tcPr>
          <w:p w:rsidR="0016503F" w:rsidRPr="00FC35C5" w:rsidRDefault="0016503F" w:rsidP="0015678B">
            <w:pPr>
              <w:jc w:val="left"/>
            </w:pPr>
            <w:r>
              <w:t>Νομική βάση</w:t>
            </w:r>
          </w:p>
        </w:tc>
        <w:tc>
          <w:tcPr>
            <w:tcW w:w="6018" w:type="dxa"/>
          </w:tcPr>
          <w:p w:rsidR="0016503F" w:rsidRPr="00FC35C5" w:rsidRDefault="0016503F" w:rsidP="0015678B">
            <w:pPr>
              <w:jc w:val="left"/>
            </w:pPr>
            <w:r>
              <w:t>Άρθρο 304 της Συνθήκης για τη λειτουργία της Ευρωπαϊκής Ένωσης</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Αρμόδιο όργανο</w:t>
            </w:r>
          </w:p>
        </w:tc>
        <w:tc>
          <w:tcPr>
            <w:tcW w:w="6018" w:type="dxa"/>
          </w:tcPr>
          <w:p w:rsidR="00DF5B64" w:rsidRPr="00FC35C5" w:rsidRDefault="00AA5798" w:rsidP="0015678B">
            <w:pPr>
              <w:jc w:val="left"/>
            </w:pPr>
            <w:r>
              <w:t>Οικονομική και Νομισματική Ένωση, οικονομική και κοινωνική συνοχή</w:t>
            </w:r>
          </w:p>
        </w:tc>
      </w:tr>
      <w:tr w:rsidR="00A156E6" w:rsidRPr="00FC35C5" w:rsidTr="00E670BD">
        <w:tc>
          <w:tcPr>
            <w:tcW w:w="3055" w:type="dxa"/>
          </w:tcPr>
          <w:p w:rsidR="00A156E6" w:rsidRPr="00FC35C5" w:rsidRDefault="00A156E6" w:rsidP="0015678B">
            <w:pPr>
              <w:jc w:val="left"/>
            </w:pPr>
            <w:r>
              <w:t>Έγκριση από το τμήμα</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Έγκριση από την ολομέλεια</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Σύνοδος ολομέλειας αριθ.</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Αποτέλεσμα της ψηφοφορίας</w:t>
            </w:r>
            <w:r>
              <w:br/>
              <w:t>(υπέρ/κατά/αποχές)</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Συμπεράσματα και συστάσεις</w:t>
      </w:r>
    </w:p>
    <w:p w:rsidR="00011D33" w:rsidRPr="00FC35C5" w:rsidRDefault="00011D33" w:rsidP="0015678B">
      <w:pPr>
        <w:keepNext/>
      </w:pPr>
    </w:p>
    <w:p w:rsidR="00D94CAF" w:rsidRPr="00FC35C5" w:rsidRDefault="00D94CAF" w:rsidP="00D94CAF">
      <w:pPr>
        <w:pStyle w:val="Heading2"/>
      </w:pPr>
      <w:r>
        <w:t>Η ΕΟΚΕ επικροτεί τη δέσμη μέτρων για τον ψηφιακό χρηματοοικονομικό τομέα που δρομολόγησε η Επιτροπή, και πιστεύει ότι περιλαμβάνει στρατηγικά νομοθετικά και μη νομοθετικά στοιχεία που αποσκοπούν στην ανάπτυξη του εν λόγω τομέα.</w:t>
      </w:r>
    </w:p>
    <w:p w:rsidR="00D94CAF" w:rsidRPr="00FC35C5" w:rsidRDefault="00D94CAF" w:rsidP="00D94CAF"/>
    <w:p w:rsidR="00D94CAF" w:rsidRPr="00FC35C5" w:rsidRDefault="00D94CAF" w:rsidP="00D94CAF">
      <w:pPr>
        <w:pStyle w:val="Heading2"/>
      </w:pPr>
      <w:r>
        <w:t>Το πρόγραμμα τεσσάρων προτεραιοτήτων που παρουσίασε η Επιτροπή καλύπτει ουσιαστικά σχεδόν όλους τους σημαντικούς τομείς δραστηριότητας στον ψηφιακό μετασχηματισμό του χρηματοπιστωτικού τομέα της ΕΕ. Η ΕΟΚΕ στηρίζει αυτές τις προσεγγίσεις της Επιτροπής.</w:t>
      </w:r>
    </w:p>
    <w:p w:rsidR="00D94CAF" w:rsidRPr="00FC35C5" w:rsidRDefault="00D94CAF" w:rsidP="00D94CAF"/>
    <w:p w:rsidR="00D94CAF" w:rsidRPr="00FC35C5" w:rsidRDefault="00D94CAF" w:rsidP="00D94CAF">
      <w:pPr>
        <w:pStyle w:val="Heading2"/>
      </w:pPr>
      <w:r>
        <w:t>Η Επιτροπή βρίσκεται στον σωστό δρόμο βασιζόμενη σε ισχυρούς συμμετέχοντες στην ευρωπαϊκή αγορά για την υλοποίηση ψηφιακών χρηματοπιστωτικών υπηρεσιών, αλλά η ΕΟΚΕ θεωρεί ότι δεν πρέπει να παραγνωριστεί ο ειδικός ρόλος των εξειδικευμένων, περιφερειακών και/ή συνεταιριστικών ή συναφών τοπικών παρόχων στον χρηματοπιστωτικό τομέα.</w:t>
      </w:r>
    </w:p>
    <w:p w:rsidR="00D94CAF" w:rsidRPr="00FC35C5" w:rsidRDefault="00D94CAF" w:rsidP="00D94CAF"/>
    <w:p w:rsidR="00D94CAF" w:rsidRPr="00FC35C5" w:rsidRDefault="00FC35C5" w:rsidP="00D94CAF">
      <w:pPr>
        <w:pStyle w:val="Heading2"/>
      </w:pPr>
      <w:r>
        <w:t>Λόγω της διαδικασίας ψηφιοποίησης, ο χρηματοπιστωτικός τομέας της ΕΕ αντιμετωπίζει μια τεράστια διαδικασία μετασχηματισμού, που συμβαδίζει με εκτενείς διαδικασίες αναδιάρθρωσης, κλείσιμο τοπικών υποκαταστημάτων, αλλαγές στα επαγγελματικά προσόντα των υπαλλήλων και εξ ολοκλήρου νέες μορφές εργασίας. Αυτές οι μεγάλες προκλήσεις δεν πρέπει να αγνοηθούν. Αποτελούν μεγάλη πρόκληση για τους παρόχους και, φυσικά, για τους υπαλλήλους του χρηματοπιστωτικού τομέα.</w:t>
      </w:r>
    </w:p>
    <w:p w:rsidR="00D94CAF" w:rsidRPr="00FC35C5" w:rsidRDefault="00D94CAF" w:rsidP="00D94CAF"/>
    <w:p w:rsidR="00D94CAF" w:rsidRPr="00FC35C5" w:rsidRDefault="00D94CAF" w:rsidP="00D94CAF">
      <w:pPr>
        <w:pStyle w:val="Heading2"/>
      </w:pPr>
      <w:r>
        <w:t>Η Επιτροπή επισημαίνει την ανάγκη να διερευνηθεί η δυνατότητα δημιουργίας πλατφόρμας για τον ψηφιακό χρηματοοικονομικό τομέα της ΕΕ. Η ΕΟΚΕ συμφωνεί και συνιστά τη συμμετοχή των κοινωνικών εταίρων και των εκπροσώπων της κοινωνίας των πολιτών σε αυτήν τη διαδικασία.</w:t>
      </w:r>
    </w:p>
    <w:p w:rsidR="00D94CAF" w:rsidRPr="00FC35C5" w:rsidRDefault="00D94CAF" w:rsidP="00D94CAF"/>
    <w:p w:rsidR="00D94CAF" w:rsidRPr="00FC35C5" w:rsidRDefault="00D94CAF" w:rsidP="00D94CAF">
      <w:pPr>
        <w:pStyle w:val="Heading2"/>
      </w:pPr>
      <w:r>
        <w:t>Η ΕΟΚΕ θεωρεί ότι, για την αντιμετώπιση των προκλήσεων και των κινδύνων που συνδέονται με τον ψηφιακό μετασχηματισμό, η ρύθμιση για τους παρόχους τεχνολογίας, η προστασία των καταναλωτών, η παροχή πρόσβασης σε χρηματοπιστωτικές υπηρεσίες, η επιχειρησιακή ανθεκτικότητα και η ασφάλεια των συστημάτων δικτύου και πληροφοριών είναι ζωτικής σημασίας για τη δημιουργία της ψηφιακής ενιαίας αγοράς χρηματοπιστωτικών υπηρεσιών.</w:t>
      </w:r>
    </w:p>
    <w:p w:rsidR="00D94CAF" w:rsidRPr="00FC35C5" w:rsidRDefault="00D94CAF" w:rsidP="00D94CAF"/>
    <w:p w:rsidR="00E23A48" w:rsidRPr="00FC35C5" w:rsidRDefault="00D94CAF" w:rsidP="00E23A48">
      <w:pPr>
        <w:pStyle w:val="Heading2"/>
      </w:pPr>
      <w:r>
        <w:t>Στον τομέα της ασφάλειας στον κυβερνοχώρο, η ΕΟΚΕ επικροτεί το σχέδιο GAIA-X, με το οποίο επιδιώκεται η αμφισβήτηση της δεσπόζουσας θέσης που κατέχουν οι ΗΠΑ και η Κίνας στις υπηρεσίες υπολογιστικού νέφους. Το έργο αυτό, στο οποίο συμμετέχει και η Ευρωπαϊκή Επιτροπή, αποσκοπεί στην επίτευξη της κυριαρχίας ή της διακυβέρνησης των δεδομένων στην ΕΕ μέσω ενός δικτύου υπολογιστικού νέφους με έδρα την ΕΕ.</w:t>
      </w:r>
    </w:p>
    <w:p w:rsidR="00D94CAF" w:rsidRPr="00FC35C5" w:rsidRDefault="00D94CAF" w:rsidP="00D94CAF"/>
    <w:p w:rsidR="00D94CAF" w:rsidRPr="00FC35C5" w:rsidRDefault="00D94CAF" w:rsidP="00D94CAF">
      <w:pPr>
        <w:pStyle w:val="Heading2"/>
      </w:pPr>
      <w:r>
        <w:t>Η δέσμευση της Επιτροπής στην αρχή «ίδια δραστηριότητα, ίδιοι κίνδυνοι, ίδιοι κανόνες» είναι θεμελιώδους και καίριας σημασίας για την αντιμετώπιση των νέων προκλήσεων, συμπεριλαμβανομένης της διασφάλισης της ίδιας εποπτείας. Η ΕΟΚΕ θεωρεί ιδιαίτερα σημαντική τη δημιουργία ισότιμων όρων ανταγωνισμού για όλα τα χρηματοπιστωτικά ιδρύματα.</w:t>
      </w:r>
    </w:p>
    <w:p w:rsidR="00546895" w:rsidRPr="00FC35C5" w:rsidRDefault="00546895" w:rsidP="0015678B"/>
    <w:p w:rsidR="00957781" w:rsidRPr="00FC35C5" w:rsidRDefault="00957781" w:rsidP="00690D84">
      <w:pPr>
        <w:pStyle w:val="Heading1"/>
        <w:keepNext/>
        <w:rPr>
          <w:b/>
        </w:rPr>
      </w:pPr>
      <w:r>
        <w:rPr>
          <w:b/>
        </w:rPr>
        <w:lastRenderedPageBreak/>
        <w:t>Οι προτάσεις της Επιτροπής</w:t>
      </w:r>
    </w:p>
    <w:p w:rsidR="00957781" w:rsidRPr="00FC35C5" w:rsidRDefault="00957781">
      <w:pPr>
        <w:keepNext/>
      </w:pPr>
    </w:p>
    <w:p w:rsidR="001F1831" w:rsidRPr="00FC35C5" w:rsidRDefault="001F1831" w:rsidP="00957781">
      <w:pPr>
        <w:pStyle w:val="Heading2"/>
      </w:pPr>
      <w:r>
        <w:t>Στις 24 Σεπτεμβρίου 2020, η Επιτροπή ενέκρινε τη δέσμη μέτρων για τον ψηφιακό χρηματοοικονομικό τομέα, η οποία συνίσταται σε μια στρατηγική ψηφιακών χρηματοοικονομικών υπηρεσιών</w:t>
      </w:r>
      <w:r w:rsidR="00A41F84" w:rsidRPr="00FC35C5">
        <w:rPr>
          <w:rStyle w:val="FootnoteReference"/>
        </w:rPr>
        <w:footnoteReference w:id="1"/>
      </w:r>
      <w:r>
        <w:t>, μια στρατηγική πληρωμών λιανικής</w:t>
      </w:r>
      <w:r w:rsidR="00A41F84" w:rsidRPr="00FC35C5">
        <w:rPr>
          <w:rStyle w:val="FootnoteReference"/>
        </w:rPr>
        <w:footnoteReference w:id="2"/>
      </w:r>
      <w:r>
        <w:t>, νομοθετικές προτάσεις για ένα κανονιστικό πλαίσιο της ΕΕ για τα κρυπτοστοιχεία</w:t>
      </w:r>
      <w:r w:rsidR="00A41F84" w:rsidRPr="00FC35C5">
        <w:rPr>
          <w:rStyle w:val="FootnoteReference"/>
        </w:rPr>
        <w:footnoteReference w:id="3"/>
      </w:r>
      <w:r>
        <w:t xml:space="preserve"> και την υποκείμενη τεχνολογία κατανεμημένου καθολικού</w:t>
      </w:r>
      <w:r w:rsidR="005B5FEF" w:rsidRPr="00FC35C5">
        <w:rPr>
          <w:rStyle w:val="FootnoteReference"/>
        </w:rPr>
        <w:footnoteReference w:id="4"/>
      </w:r>
      <w:r>
        <w:t>, καθώς και προτάσεις για ένα κανονιστικό πλαίσιο της ΕΕ για την ψηφιακή επιχειρησιακή ανθεκτικότητα</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Στο ιδιαίτερα δυναμικό πλαίσιο της ψηφιακής καινοτομίας, που επιταχύνθηκε από την κρίση της νόσου COVID-19, η Επιτροπή προτείνει μια στρατηγική με έναν στρατηγικό στόχο και τέσσερις προτεραιότητες και συναφείς δράσεις για τον ψηφιακό χρηματοοικονομικό τομέα. Η στρατηγική αυτή αποτελεί το θέμα της παρούσας γνωμοδότησης της ΕΟΚΕ.</w:t>
      </w:r>
    </w:p>
    <w:p w:rsidR="000B69F9" w:rsidRPr="00FC35C5" w:rsidRDefault="000B69F9" w:rsidP="000B69F9">
      <w:pPr>
        <w:pStyle w:val="Heading2"/>
        <w:numPr>
          <w:ilvl w:val="0"/>
          <w:numId w:val="0"/>
        </w:numPr>
        <w:ind w:left="567"/>
      </w:pPr>
    </w:p>
    <w:p w:rsidR="00A41F84" w:rsidRPr="00FC35C5" w:rsidRDefault="000B69F9" w:rsidP="00E03B17">
      <w:pPr>
        <w:pStyle w:val="Heading2"/>
      </w:pPr>
      <w:r>
        <w:t>Ο στρατηγικός στόχος που έθεσε η Επιτροπή είναι η εξάπλωση του ψηφιακού χρηματοπιστωτικού τομέα προς όφελος των καταναλωτών και των επιχειρήσεων. Οι τέσσερις προτεραιότητες είναι οι εξής: (1) η αντιμετώπιση του κατακερματισμού στην ψηφιακή ενιαία αγορά χρηματοπιστωτικών υπηρεσιών, ώστε οι Ευρωπαίοι καταναλωτές να έχουν τη δυνατότητα πρόσβασης σε διασυνοριακές υπηρεσίες και να διευκολυνθεί η κλιμάκωση των ψηφιακών πράξεων των ευρωπαϊκών χρηματοπιστωτικών επιχειρήσεων, (2) να διασφαλιστεί ότι το κανονιστικό πλαίσιο της ΕΕ διευκολύνει την ψηφιακή καινοτομία προς όφελος των καταναλωτών και της αποδοτικότητας της αγοράς, (3) η δημιουργία ενός ευρωπαϊκού χώρου χρηματοοικονομικών δεδομένων για την προώθηση της καινοτομίας βάσει δεδομένων, που θα αξιοποιεί την ευρωπαϊκή στρατηγική για τα δεδομένα, συμπεριλαμβανομένης της βελτιωμένης πρόσβασης σε δεδομένα και της ανταλλαγής δεδομένων εντός του χρηματοπιστωτικού τομέα και (4) η αντιμετώπιση νέων προκλήσεων και κινδύνων που συνδέονται με τον ψηφιακό μετασχηματισμό.</w:t>
      </w:r>
    </w:p>
    <w:p w:rsidR="00957781" w:rsidRPr="00FC35C5" w:rsidRDefault="00957781" w:rsidP="00957781"/>
    <w:p w:rsidR="00011D33" w:rsidRPr="00FC35C5" w:rsidRDefault="00011D33" w:rsidP="00B91EDD">
      <w:pPr>
        <w:pStyle w:val="Heading1"/>
        <w:keepNext/>
        <w:keepLines/>
        <w:rPr>
          <w:b/>
        </w:rPr>
      </w:pPr>
      <w:r>
        <w:rPr>
          <w:b/>
        </w:rPr>
        <w:t>Γενικές και ειδικές παρατηρήσεις</w:t>
      </w:r>
    </w:p>
    <w:p w:rsidR="00957781" w:rsidRPr="00FC35C5" w:rsidRDefault="00957781" w:rsidP="00B91EDD">
      <w:pPr>
        <w:keepNext/>
        <w:keepLines/>
      </w:pPr>
    </w:p>
    <w:p w:rsidR="00957781" w:rsidRPr="00FC35C5" w:rsidRDefault="00957781" w:rsidP="00E03B17">
      <w:pPr>
        <w:pStyle w:val="Heading2"/>
      </w:pPr>
      <w:r>
        <w:t>Με την πρωτοβουλία για τη δημιουργία και την εφαρμογή μιας νέας στρατηγικής ψηφιακών χρηματοοικονομικών υπηρεσιών στην Ευρώπη (στο πλαίσιο της δέσμης μέτρων της Επιτροπής για τον ψηφιακό χρηματοοικονομικό τομέα), η Επιτροπή επιβεβαιώνει τη μεγάλη σημασία της ψηφιοποίησης στον χρηματοπιστωτικό τομέα (ψηφιακές χρηματοπιστωτικές υπηρεσίες). Η σημασία αυτή κατέστη ιδιαίτερα σαφής κατά τη διάρκεια της κρίσης της νόσου COVID-19. Το πρόγραμμα τεσσάρων προτεραιοτήτων που παρουσίασε η Επιτροπή καλύπτει ουσιαστικά σχεδόν όλους τους σημαντικούς τομείς δραστηριότητας στον ψηφιακό μετασχηματισμό του χρηματοπιστωτικού τομέα της ΕΕ. Η ΕΟΚΕ στηρίζει αυτές τις προσεγγίσεις της Επιτροπής.</w:t>
      </w:r>
    </w:p>
    <w:p w:rsidR="00957781" w:rsidRPr="00FC35C5" w:rsidRDefault="00957781" w:rsidP="00E03B17">
      <w:pPr>
        <w:pStyle w:val="Heading2"/>
        <w:numPr>
          <w:ilvl w:val="0"/>
          <w:numId w:val="0"/>
        </w:numPr>
      </w:pPr>
    </w:p>
    <w:p w:rsidR="00D94CAF" w:rsidRPr="00FC35C5" w:rsidRDefault="00957781" w:rsidP="00D94CAF">
      <w:pPr>
        <w:pStyle w:val="Heading2"/>
      </w:pPr>
      <w:r>
        <w:lastRenderedPageBreak/>
        <w:t>Η Επιτροπή βρίσκεται στο σωστό δρόμο βασιζόμενη σε ισχυρούς συμμετέχοντες στην ευρωπαϊκή αγορά για την υλοποίηση ψηφιακών χρηματοπιστωτικών υπηρεσιών, αλλά η ΕΟΚΕ θεωρεί ότι πρέπει να εξεταστεί ο ειδικός ρόλος των εξειδικευμένων περιφερειακών και/ή συνεταιριστικών ή συναφών παρόχων στον χρηματοπιστωτικό τομέα, καθώς η πολυμορφία στον χρηματοπιστωτικό τομέα διευκολύνει την ικανοποίηση των εξειδικευμένων αναγκών των καταναλωτών και των ΜΜΕ και συμβάλλει στην ανταγωνιστικότητα των αγορών. Η ΕΟΚΕ ενθαρρύνει την Επιτροπή να επιδιώξει την αναλογικότητα όσον αφορά τη φύση, την κλίμακα και την πολυπλοκότητα των χρηματοπιστωτικών ιδρυμάτων και των προϊόντων τους.</w:t>
      </w:r>
    </w:p>
    <w:p w:rsidR="00957781" w:rsidRPr="00FC35C5" w:rsidRDefault="00957781" w:rsidP="00957781">
      <w:pPr>
        <w:pStyle w:val="Heading2"/>
        <w:numPr>
          <w:ilvl w:val="0"/>
          <w:numId w:val="0"/>
        </w:numPr>
        <w:ind w:left="567"/>
      </w:pPr>
    </w:p>
    <w:p w:rsidR="0042223E" w:rsidRPr="00FC35C5" w:rsidRDefault="00957781" w:rsidP="0012584B">
      <w:pPr>
        <w:pStyle w:val="Heading2"/>
      </w:pPr>
      <w:r>
        <w:t>Η ανακοίνωση της Επιτροπής είναι εξαιρετικά τεχνική, και υπάρχει ένα σημείο που δεν θίγει: λόγω της ψηφιοποίησης, ο χρηματοπιστωτικός τομέας της ΕΕ αντιμετωπίζει μια τεράστια διαδικασία μετασχηματισμού. Η διαδικασία αυτή συμβαδίζει με εκτενείς διαδικασίες αναδιάρθρωσης, κλείσιμο τοπικών υποκαταστημάτων, αλλαγές στα επαγγελματικά προσόντα των υπαλλήλων και εξ ολοκλήρου νέες μορφές εργασίας. Αυτές οι μεγάλες προκλήσεις δεν πρέπει να αγνοηθούν. Αποτελούν μεγάλη πρόκληση για τους παρόχους και, φυσικά, για τους υπαλλήλους του χρηματοπιστωτικού τομέα. Η ΕΟΚΕ τάσσεται υπέρ του κοινωνικού διαλόγου για την αντιμετώπιση των προβλημάτων που εμφανίζονται στους τομείς όπου συντελείται ο μετασχηματισμός.</w:t>
      </w:r>
    </w:p>
    <w:p w:rsidR="009A7434" w:rsidRPr="00FC35C5" w:rsidRDefault="009A7434" w:rsidP="009A7434"/>
    <w:p w:rsidR="0042223E" w:rsidRPr="00FC35C5" w:rsidRDefault="008D1CCD" w:rsidP="0042223E">
      <w:pPr>
        <w:pStyle w:val="Heading2"/>
      </w:pPr>
      <w:r>
        <w:t>Η Επιτροπή δηλώνει ότι η εύρυθμη λειτουργία της ενιαίας αγοράς ψηφιακών χρηματοπιστωτικών υπηρεσιών θα συμβάλει στη βελτίωση της πρόσβασης των καταναλωτών και των ιδιωτών επενδυτών της ΕΕ σε χρηματοπιστωτικές υπηρεσίες. Η ΕΟΚΕ στηρίζει αυτήν την προσέγγιση της Επιτροπής. Για να μειωθεί ο κατακερματισμός της ψηφιακής ενιαίας αγοράς χρηματοπιστωτικών υπηρεσιών, είναι σημαντικό να δοθεί η δυνατότητα στις αγορές να αναπτυχθούν.</w:t>
      </w:r>
    </w:p>
    <w:p w:rsidR="0042223E" w:rsidRPr="00FC35C5" w:rsidRDefault="0042223E" w:rsidP="0042223E">
      <w:pPr>
        <w:pStyle w:val="Heading2"/>
        <w:numPr>
          <w:ilvl w:val="0"/>
          <w:numId w:val="0"/>
        </w:numPr>
        <w:ind w:left="567"/>
      </w:pPr>
    </w:p>
    <w:p w:rsidR="00E905FC" w:rsidRPr="00FC35C5" w:rsidRDefault="00E905FC" w:rsidP="00E905FC">
      <w:pPr>
        <w:pStyle w:val="Heading2"/>
      </w:pPr>
      <w:r>
        <w:t>Η Επιτροπή αναφέρεται στην ανάγκη να διερευνηθεί η δυνατότητα δημιουργίας πλατφόρμας για τον ψηφιακό χρηματοοικονομικό τομέα της ΕΕ. Η ΕΟΚΕ συμφωνεί και συνιστά τη συμμετοχή των κοινωνικών εταίρων και των εκπροσώπων της κοινωνίας των πολιτών σε αυτήν τη διαδικασία.</w:t>
      </w:r>
    </w:p>
    <w:p w:rsidR="00E905FC" w:rsidRPr="00FC35C5" w:rsidRDefault="00E905FC" w:rsidP="00E905FC"/>
    <w:p w:rsidR="0042223E" w:rsidRPr="00FC35C5" w:rsidRDefault="008D1CCD" w:rsidP="0042223E">
      <w:pPr>
        <w:pStyle w:val="Heading2"/>
      </w:pPr>
      <w:r>
        <w:t>Η πρακτική εμπειρία δείχνει ότι η ενιαία αγορά ψηφιακών χρηματοπιστωτικών υπηρεσιών θα λειτουργήσει μόνο εάν οι νέοι πελάτες είναι σε θέση να έχουν πρόσβαση σε χρηματοπιστωτικές υπηρεσίες γρήγορα και εύκολα (η λεγόμενη «ένταξη στο πελατολόγιο»). Η ΕΟΚΕ επισημαίνει το κρίσιμο πρόβλημα στους τομείς που τόνισε η Επιτροπή.</w:t>
      </w:r>
    </w:p>
    <w:p w:rsidR="0042223E" w:rsidRPr="00FC35C5" w:rsidRDefault="0042223E" w:rsidP="0042223E">
      <w:pPr>
        <w:pStyle w:val="Heading2"/>
        <w:numPr>
          <w:ilvl w:val="0"/>
          <w:numId w:val="0"/>
        </w:numPr>
        <w:ind w:left="567"/>
      </w:pPr>
    </w:p>
    <w:p w:rsidR="00407C5A" w:rsidRDefault="0042223E" w:rsidP="00407C5A">
      <w:pPr>
        <w:pStyle w:val="Heading2"/>
      </w:pPr>
      <w:r>
        <w:t>Ο κατακερματισμός των κανόνων για τη νομιμοποίηση εσόδων από παράνομες δραστηριότητες μεταξύ των κρατών μελών καθιστά τη διασυνοριακή χρήση των ψηφιακών ταυτοτήτων πολύ πιο δύσκολη, εάν όχι αδύνατη. Οι κανόνες για την ταυτοποίηση των πελατών θα πρέπει να εναρμονιστούν σε ολόκληρη την ΕΕ. Συνεπώς, η ΕΟΚΕ συνιστά να διασφαλιστεί η πανευρωπαϊκή νομική διαλειτουργικότητα των ψηφιακών ταυτοτήτων.</w:t>
      </w:r>
    </w:p>
    <w:p w:rsidR="00407C5A" w:rsidRPr="00407C5A" w:rsidRDefault="00407C5A" w:rsidP="00407C5A"/>
    <w:p w:rsidR="00CC743D" w:rsidRDefault="00CC743D" w:rsidP="00796EA0">
      <w:pPr>
        <w:pStyle w:val="Heading2"/>
      </w:pPr>
      <w:r>
        <w:t xml:space="preserve">Κατά τη χάραξη της Στρατηγικής ψηφιακών χρηματοοικονομικών υπηρεσιών για την ΕΕ, δεν μπορεί να λησμονηθεί το ζήτημα της ασφάλειας των πολιτών. Η σύσταση προς τα κράτη μέλη να θεσπίσουν, παράλληλα με την εφαρμογή της στρατηγικής, νομικά και οργανωτικά μέτρα για την αντιμετώπιση του φαινομένου της κλοπής ταυτότητας θα πρέπει να συμπεριληφθεί στη </w:t>
      </w:r>
      <w:r>
        <w:lastRenderedPageBreak/>
        <w:t>στρατηγική. Το πρόβλημα αυτό γίνεται όλο και πιο κοινό με την ανάπτυξη των ψηφιακών υπηρεσιών και προϊόντων και, εάν δεν αναληφθεί δράση, μπορεί να αποτελέσει ανασταλτικό παράγοντα στην εφαρμογή της στρατηγικής.</w:t>
      </w:r>
    </w:p>
    <w:p w:rsidR="001F2261" w:rsidRPr="00FC35C5" w:rsidRDefault="001F2261" w:rsidP="001F2261">
      <w:pPr>
        <w:pStyle w:val="Heading2"/>
        <w:numPr>
          <w:ilvl w:val="0"/>
          <w:numId w:val="0"/>
        </w:numPr>
        <w:ind w:left="567"/>
      </w:pPr>
    </w:p>
    <w:p w:rsidR="001F2261" w:rsidRPr="00FC35C5" w:rsidRDefault="008D1CCD" w:rsidP="00D94CAF">
      <w:pPr>
        <w:pStyle w:val="Heading2"/>
      </w:pPr>
      <w:r>
        <w:t>Η ΕΟΚΕ στηρίζει τις προτάσεις της Επιτροπής για τη δημιουργία ενός φιλικού προς την καινοτομία και ανταγωνιστικού πλαισίου για τις χρηματοπιστωτικές αγορές, προς όφελος των καταναλωτών και του κλάδου. Παράλληλα, ωστόσο, πρέπει να διασφαλιστεί ότι οι εποπτικές πρακτικές και η νομοθεσία της ΕΕ εξακολουθούν να βασίζονται στην κατευθυντήρια αρχή της τεχνολογικής ουδετερότητας και επανεξετάζουν τις ισχύουσες απαιτήσεις για γραπτά έγγραφα.</w:t>
      </w:r>
    </w:p>
    <w:p w:rsidR="00D63BD8" w:rsidRPr="00FC35C5" w:rsidRDefault="00D63BD8" w:rsidP="00D63BD8"/>
    <w:p w:rsidR="00D94CAF" w:rsidRPr="00FC35C5" w:rsidRDefault="005315EE" w:rsidP="00D94CAF">
      <w:pPr>
        <w:pStyle w:val="Heading2"/>
      </w:pPr>
      <w:r>
        <w:t xml:space="preserve">Ωστόσο, στην ψηφιακή αγορά ορισμένες επιχειρήσεις χρηματοοικονομικής τεχνολογίας (FinTech) προσφέρουν υπηρεσίες σε χρηματοπιστωτικές επιχειρήσεις, ενώ άλλες ανταγωνίζονται με αυτές. Η ΕΟΚΕ θεωρεί ότι η Επιτροπή θα πρέπει να λάβει υπόψη τα θέματα αυτά κατά την κατάρτιση νέων κανονισμών. Συνεπώς, η ΕΟΚΕ συνιστά οι νέοι κανονισμοί να προσανατολιστούν προς τη στήριξη εταιρικών σχέσεων μεταξύ των κατεστημένων χρηματοπιστωτικών ιδρυμάτων και του τομέα της χρηματοοικονομικής τεχνολογίας. Ενώ είναι προφανές ότι οι τράπεζες είναι τα σημαντικότερα ιδρύματα, η νομοθεσία θα πρέπει να αποφύγει την απλή αντιγραφή-επικόλληση των απαιτήσεων σε όλες τις πτυχές του κλάδου, που ενδέχεται να μην αρμόζουν σε όλα τα είδη χρηματοπιστωτικών υπηρεσιών. Θα πρέπει να διαφοροποιήσει τα προϊόντα που προσανατολίζονται στους καταναλωτές, τα οποία μπορούν να θεωρηθούν ως βασικά προϊόντα, από τα πιο σύνθετα προϊόντα, όπου το εύρος και οι παρεχόμενες μετά την πώληση υπηρεσίες έχουν μεγάλη σημασία. </w:t>
      </w:r>
    </w:p>
    <w:p w:rsidR="003A70A1" w:rsidRPr="00FC35C5" w:rsidRDefault="003A70A1" w:rsidP="005A66B6"/>
    <w:p w:rsidR="00D94CAF" w:rsidRPr="00FC35C5" w:rsidRDefault="00D94CAF" w:rsidP="00D94CAF">
      <w:pPr>
        <w:pStyle w:val="Heading2"/>
      </w:pPr>
      <w:r>
        <w:t>Η ΕΟΚΕ θεωρεί ότι είναι αναγκαίο να επεκταθεί η ανταλλαγή δεδομένων πέρα από τον χρηματοπιστωτικό τομέα και υπενθυμίζει στην Επιτροπή τη σύσταση της ΕΟΚΕ</w:t>
      </w:r>
      <w:r w:rsidRPr="00FC35C5">
        <w:rPr>
          <w:rStyle w:val="FootnoteReference"/>
        </w:rPr>
        <w:footnoteReference w:id="6"/>
      </w:r>
      <w:r>
        <w:t xml:space="preserve"> σχετικά με την ανακοίνωση της Επιτροπής για μια ευρωπαϊκή στρατηγική για τα δεδομένα, όπου η ΕΟΚΕ επικρότησε την πρόταση της Επιτροπής σχετικά με μια στρατηγική για τα δεδομένα, με την οποία ορίζεται η διατομεακή ανταλλαγή δεδομένων ως προτεραιότητα και επιδιώκεται να βελτιωθεί η χρήση, η ανταλλαγή, η πρόσβαση και η διακυβέρνηση των δεδομένων με νομοθετικά και τομεακά μέτρα, και τόνισε ότι το πλαίσιο αυτό θα πρέπει να διαμορφωθεί κατά τρόπο ώστε να συνδυάζει υψηλά πρότυπα προστασίας δεδομένων, διατομεακή και υπεύθυνη κοινοχρησία δεδομένων, σαφή κριτήρια για τομεακή διακυβέρνηση και ποιότητα δεδομένων, και μεγαλύτερο έλεγχο των δεδομένων από τα άτομα. Είναι σημαντικό να διασφαλιστεί ότι τα δεδομένα που συλλέγονται από μια θυγατρική εταιρεία πληρωμών ενός ομίλου εταιρειών τεχνολογίας (BigTech) δεν παρέχονται ούτε συγχωνεύονται με τα δεδομένα που κατέχει η μητρική εταιρεία. Για να λειτουργήσει αυτή η αρχή, υπάρχει ανάγκη για τείχη προστασίας μεταξύ της θυγατρικής εταιρείας πληρωμών και της μητρικής εταιρείας.</w:t>
      </w:r>
    </w:p>
    <w:p w:rsidR="001F2261" w:rsidRPr="00FC35C5" w:rsidRDefault="001F2261" w:rsidP="005A66B6">
      <w:pPr>
        <w:pStyle w:val="Heading2"/>
        <w:numPr>
          <w:ilvl w:val="0"/>
          <w:numId w:val="0"/>
        </w:numPr>
        <w:ind w:left="567"/>
      </w:pPr>
    </w:p>
    <w:p w:rsidR="001F2261" w:rsidRPr="00FC35C5" w:rsidRDefault="008D1CCD" w:rsidP="001F2261">
      <w:pPr>
        <w:pStyle w:val="Heading2"/>
      </w:pPr>
      <w:r>
        <w:t>Η ΕΟΚΕ θεωρεί ότι, για την αντιμετώπιση των προκλήσεων και των κινδύνων που συνδέονται με τον ψηφιακό μετασχηματισμό, η ρύθμιση για τους παρόχους τεχνολογίας, η προστασία των καταναλωτών, η παροχή πρόσβασης σε χρηματοπιστωτικές υπηρεσίες, η επιχειρησιακή ανθεκτικότητα και η ασφάλεια των συστημάτων δικτύου και πληροφοριών είναι όλα ζωτικής σημασίας για τη δημιουργία της ψηφιακής ενιαίας αγοράς χρηματοπιστωτικών υπηρεσιών.</w:t>
      </w:r>
    </w:p>
    <w:p w:rsidR="008938B5" w:rsidRPr="00FC35C5" w:rsidRDefault="008938B5" w:rsidP="008938B5"/>
    <w:p w:rsidR="008938B5" w:rsidRPr="00796EA0" w:rsidRDefault="008938B5">
      <w:pPr>
        <w:pStyle w:val="Heading2"/>
        <w:rPr>
          <w:rFonts w:eastAsiaTheme="minorHAnsi"/>
        </w:rPr>
      </w:pPr>
      <w:r>
        <w:lastRenderedPageBreak/>
        <w:t>Στον τομέα της ασφάλειας στον κυβερνοχώρο, η ΕΟΚΕ επισημαίνει ότι τα περισσότερα ευρωπαϊκά συστημικά χρηματοπιστωτικά ιδρύματα χρησιμοποιούν υπηρεσίες χρηματοοικονομικής τεχνολογίας που παρέχονται από εταιρείες εκτός της ΕΕ. Η νομοθετική πρωτοβουλία για την Ψηφιακή επιχειρησιακή ανθεκτικότητα (DORA)</w:t>
      </w:r>
      <w:r w:rsidR="00D94CAF" w:rsidRPr="005B08BA">
        <w:rPr>
          <w:rStyle w:val="FootnoteReference"/>
          <w:sz w:val="22"/>
        </w:rPr>
        <w:footnoteReference w:id="7"/>
      </w:r>
      <w:r>
        <w:t xml:space="preserve"> που προτείνει η Επιτροπή μπορεί να αποδειχθεί ανεπαρκής σε ορισμένες περιπτώσεις· συνεπώς, η ΕΟΚΕ επικροτεί το σχέδιο GAIA-X, το οποίο αποσκοπεί στην αμφισβήτηση της δεσπόζουσας θέσης των ΗΠΑ και της Κίνας στις υπηρεσίες υπολογιστικού νέφους. Το έργο αυτό, στο οποίο συμμετέχει και η Ευρωπαϊκή Επιτροπή, αποσκοπεί στην επίτευξη της κυριαρχίας των δεδομένων στην ΕΕ ή της διακυβέρνησης των δεδομένων μέσω ενός δικτύου υπολογιστικού νέφους με έδρα την ΕΕ. Δεδομένου ότι βασιζόμαστε σε ολοένα μεγαλύτερο βαθμό στις ψηφιακές υπηρεσίες, είναι προς το συμφέρον τόσο των ενδιαφερόμενων μερών της ΕΕ να είναι ανεξάρτητοι από εξωτερικούς παρόχους υπηρεσιών υπολογιστικού νέφους όσο και της ίδιας της ΕΕ να ενισχύσει την οικονομική και την πολιτική κυριαρχία της. Επίσης, ένα ευρωπαϊκό δίκτυο υπολογιστικού νέφους θα διευκολύνει και τις ροές δεδομένων μεταξύ των κρατών μελών. </w:t>
      </w:r>
    </w:p>
    <w:p w:rsidR="001F2261" w:rsidRPr="00FC35C5" w:rsidRDefault="001F2261" w:rsidP="001F2261">
      <w:pPr>
        <w:pStyle w:val="Heading2"/>
        <w:numPr>
          <w:ilvl w:val="0"/>
          <w:numId w:val="0"/>
        </w:numPr>
        <w:ind w:left="567"/>
      </w:pPr>
    </w:p>
    <w:p w:rsidR="001F2261" w:rsidRPr="00FC35C5" w:rsidRDefault="001F2261" w:rsidP="001F2261">
      <w:pPr>
        <w:pStyle w:val="Heading2"/>
      </w:pPr>
      <w:r>
        <w:t>Η δέσμευση της Επιτροπής στην αρχή «ίδια δραστηριότητα, ίδιοι κίνδυνοι, ίδιοι κανόνες» είναι θεμελιώδους και καίριας σημασίας για την αντιμετώπιση των νέων προκλήσεων, συμπεριλαμβανομένης της διασφάλισης της ίδιας εποπτείας. Υπό το πρίσμα της αυξανόμενης προόδου των μεγάλων εταιρειών τεχνολογίας (BigTech), των πλατφορμών και των εταιρειών τεχνολογίας, καθώς και των χρήσιμων δραστηριοτήτων των εταιρειών τεχνολογίας στον χρηματοπιστωτικό τομέα, η ΕΟΚΕ θεωρεί ότι η δημιουργία ισότιμων όρων ανταγωνισμού έχει ιδιαίτερη σημασία για όλους τους παράγοντες της αγοράς στον εν λόγω τομέα.</w:t>
      </w:r>
    </w:p>
    <w:p w:rsidR="001F2261" w:rsidRPr="00FC35C5" w:rsidRDefault="001F2261" w:rsidP="001F2261">
      <w:pPr>
        <w:pStyle w:val="Heading2"/>
        <w:numPr>
          <w:ilvl w:val="0"/>
          <w:numId w:val="0"/>
        </w:numPr>
        <w:ind w:left="567"/>
      </w:pPr>
    </w:p>
    <w:p w:rsidR="00AA5798" w:rsidRPr="00FC35C5" w:rsidRDefault="001F2261" w:rsidP="00690D84">
      <w:pPr>
        <w:pStyle w:val="Heading2"/>
        <w:keepNext/>
      </w:pPr>
      <w:r>
        <w:t>Η Επιτροπή εξετάζει μια στρατηγική για τη στήριξη και την επένδυση στη γενική οικονομική εκπαίδευση, με έμφαση στην ψηφιοποίηση. Αυτό μπορεί να οδηγήσει τόσο σε μεγαλύτερο άνοιγμα των ψηφιακών υπηρεσιών όσο και στην αποτελεσματικότερη προστασία των καταναλωτών ανεξαρτήτως ηλικίας, φύλου ή επαγγελματικής κατάστασης. Η ΕΟΚΕ ενθαρρύνει την Επιτροπή να συνεχίσει την πορεία αυτή.</w:t>
      </w:r>
    </w:p>
    <w:p w:rsidR="00E5447A" w:rsidRDefault="00E5447A" w:rsidP="00690D84">
      <w:pPr>
        <w:keepNext/>
      </w:pPr>
    </w:p>
    <w:p w:rsidR="00E5447A" w:rsidRDefault="00E5447A" w:rsidP="00690D84">
      <w:pPr>
        <w:keepNext/>
      </w:pPr>
      <w:r>
        <w:t>Βρυξέλλες, 24 Φεβρουαρίου 2021</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t>Christa Schweng</w:t>
      </w:r>
    </w:p>
    <w:p w:rsidR="00E5447A" w:rsidRPr="00FC35C5" w:rsidRDefault="00E5447A" w:rsidP="00690D84">
      <w:pPr>
        <w:keepNext/>
      </w:pPr>
      <w:r>
        <w:t xml:space="preserve">Πρόεδρος της Ευρωπαϊκής Οικονομικής και Κοινωνικής Επιτροπής </w:t>
      </w:r>
    </w:p>
    <w:p w:rsidR="00B034E2" w:rsidRDefault="00B034E2" w:rsidP="00690D84">
      <w:pPr>
        <w:keepNext/>
        <w:jc w:val="center"/>
      </w:pPr>
    </w:p>
    <w:p w:rsidR="00646AC2" w:rsidRPr="00FC35C5" w:rsidRDefault="00646AC2" w:rsidP="00690D84">
      <w:pPr>
        <w:keepNext/>
        <w:jc w:val="center"/>
      </w:pPr>
      <w:r>
        <w:t>_____________</w:t>
      </w:r>
    </w:p>
    <w:sectPr w:rsidR="00646AC2" w:rsidRPr="00FC35C5" w:rsidSect="00251233">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33" w:rsidRPr="00251233" w:rsidRDefault="00251233" w:rsidP="002512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251233" w:rsidRDefault="00251233" w:rsidP="00251233">
    <w:pPr>
      <w:pStyle w:val="Footer"/>
    </w:pPr>
    <w:r>
      <w:t xml:space="preserve">ECO/534 – EESC-2020-04935-00-00-AC-TRA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7</w:instrText>
      </w:r>
    </w:fldSimple>
    <w:r>
      <w:instrText xml:space="preserve"> -0 </w:instrText>
    </w:r>
    <w:r>
      <w:fldChar w:fldCharType="separate"/>
    </w:r>
    <w:r>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33" w:rsidRPr="00251233" w:rsidRDefault="00251233" w:rsidP="002512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251233" w:rsidRDefault="0080698D" w:rsidP="0025123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251233" w:rsidRDefault="00251233" w:rsidP="00251233">
    <w:pPr>
      <w:pStyle w:val="Footer"/>
    </w:pPr>
    <w:r>
      <w:t xml:space="preserve">ECO/534 – EESC-2020-04935-00-00-AC-TRA (EN) </w:t>
    </w:r>
    <w:r>
      <w:fldChar w:fldCharType="begin"/>
    </w:r>
    <w:r>
      <w:instrText xml:space="preserve"> PAGE  \* Arabic  \* MERGEFORMAT </w:instrText>
    </w:r>
    <w:r>
      <w:fldChar w:fldCharType="separate"/>
    </w:r>
    <w:r>
      <w:rPr>
        <w:noProof/>
      </w:rPr>
      <w:t>7</w:t>
    </w:r>
    <w:r>
      <w:fldChar w:fldCharType="end"/>
    </w:r>
    <w:r>
      <w:t>/</w:t>
    </w:r>
    <w:r>
      <w:fldChar w:fldCharType="begin"/>
    </w:r>
    <w:r>
      <w:instrText xml:space="preserve"> = </w:instrText>
    </w:r>
    <w:fldSimple w:instr=" NUMPAGES ">
      <w:r>
        <w:rPr>
          <w:noProof/>
        </w:rPr>
        <w:instrText>7</w:instrText>
      </w:r>
    </w:fldSimple>
    <w:r>
      <w:instrText xml:space="preserve"> -0 </w:instrText>
    </w:r>
    <w:r>
      <w:fldChar w:fldCharType="separate"/>
    </w:r>
    <w:r>
      <w:rPr>
        <w:noProof/>
      </w:rPr>
      <w:t>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251233" w:rsidRDefault="0080698D" w:rsidP="002512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Pr>
          <w:rStyle w:val="FootnoteReference"/>
          <w:sz w:val="18"/>
          <w:szCs w:val="18"/>
        </w:rPr>
        <w:footnoteRef/>
      </w:r>
      <w:r>
        <w:rPr>
          <w:sz w:val="18"/>
          <w:szCs w:val="18"/>
        </w:rPr>
        <w:tab/>
      </w:r>
      <w:hyperlink r:id="rId3" w:history="1">
        <w:r>
          <w:rPr>
            <w:rStyle w:val="Hyperlink"/>
            <w:sz w:val="16"/>
            <w:szCs w:val="16"/>
          </w:rPr>
          <w:t>COM(2020) 593 final</w:t>
        </w:r>
      </w:hyperlink>
    </w:p>
  </w:footnote>
  <w:footnote w:id="4">
    <w:p w:rsidR="009A7434" w:rsidRPr="00690D84" w:rsidRDefault="005B5FEF">
      <w:pPr>
        <w:pStyle w:val="FootnoteText"/>
        <w:rPr>
          <w:color w:val="444444"/>
          <w:sz w:val="18"/>
          <w:szCs w:val="18"/>
        </w:rPr>
      </w:pPr>
      <w:r>
        <w:rPr>
          <w:rStyle w:val="FootnoteReference"/>
          <w:sz w:val="18"/>
          <w:szCs w:val="18"/>
        </w:rPr>
        <w:footnoteRef/>
      </w:r>
      <w:r>
        <w:rPr>
          <w:sz w:val="18"/>
          <w:szCs w:val="18"/>
        </w:rPr>
        <w:tab/>
      </w:r>
      <w:hyperlink r:id="rId4" w:history="1">
        <w:r>
          <w:rPr>
            <w:rStyle w:val="Hyperlink"/>
          </w:rPr>
          <w:t>COM(2020) 594 final</w:t>
        </w:r>
      </w:hyperlink>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Pr>
          <w:rStyle w:val="FootnoteReference"/>
          <w:sz w:val="18"/>
          <w:szCs w:val="18"/>
        </w:rPr>
        <w:footnoteRef/>
      </w:r>
      <w:r>
        <w:rPr>
          <w:sz w:val="18"/>
          <w:szCs w:val="18"/>
        </w:rPr>
        <w:tab/>
      </w:r>
      <w:hyperlink r:id="rId5" w:history="1">
        <w:r>
          <w:rPr>
            <w:rStyle w:val="Hyperlink"/>
            <w:sz w:val="16"/>
            <w:szCs w:val="16"/>
          </w:rPr>
          <w:t>COM(2020) 595 final</w:t>
        </w:r>
      </w:hyperlink>
      <w:r>
        <w:rPr>
          <w:sz w:val="16"/>
          <w:szCs w:val="16"/>
        </w:rPr>
        <w:t xml:space="preserve"> και </w:t>
      </w:r>
      <w:hyperlink r:id="rId6" w:history="1">
        <w:r>
          <w:rPr>
            <w:rStyle w:val="Hyperlink"/>
            <w:sz w:val="16"/>
            <w:szCs w:val="16"/>
          </w:rPr>
          <w:t>COM(2020) 596 final</w:t>
        </w:r>
      </w:hyperlink>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7" w:history="1">
        <w:r>
          <w:rPr>
            <w:rStyle w:val="Hyperlink"/>
          </w:rPr>
          <w:t>ΕΕ C 429 της 11.12.2020, σ. 290</w:t>
        </w:r>
      </w:hyperlink>
      <w:r>
        <w:t>.</w:t>
      </w:r>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8" w:history="1">
        <w:r>
          <w:rPr>
            <w:rStyle w:val="Hyperlink"/>
          </w:rPr>
          <w:t>COM(2020) 595 final</w:t>
        </w:r>
      </w:hyperlink>
      <w:r>
        <w:t xml:space="preserve">. Βλ. επίσης τη σχετική γνωμοδότηση της ΕΟΚΕ με τίτλο </w:t>
      </w:r>
      <w:hyperlink r:id="rId9" w:history="1">
        <w:r>
          <w:rPr>
            <w:rStyle w:val="Hyperlink"/>
            <w:i/>
            <w:szCs w:val="16"/>
          </w:rPr>
          <w:t>Ψηφιακή επιχειρησιακή ανθεκτικότητα</w:t>
        </w:r>
        <w:r>
          <w:rPr>
            <w:rStyle w:val="Hyperlink"/>
          </w:rPr>
          <w:t xml:space="preserve"> (ECO/536</w:t>
        </w:r>
      </w:hyperlink>
      <w:r>
        <w:t>). Δεν έχει δημοσιευθεί ακόμη.</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33" w:rsidRPr="00251233" w:rsidRDefault="00251233" w:rsidP="002512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33" w:rsidRPr="00251233" w:rsidRDefault="00251233" w:rsidP="002512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33" w:rsidRPr="00251233" w:rsidRDefault="00251233" w:rsidP="002512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251233" w:rsidRDefault="0080698D" w:rsidP="002512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251233" w:rsidRDefault="0080698D" w:rsidP="0025123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251233" w:rsidRDefault="0080698D" w:rsidP="002512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233"/>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6FF8"/>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l-GR"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el-GR" w:eastAsia="en-US" w:bidi="ar-SA"/>
    </w:rPr>
  </w:style>
  <w:style w:type="character" w:customStyle="1" w:styleId="Heading2Char">
    <w:name w:val="Heading 2 Char"/>
    <w:basedOn w:val="DefaultParagraphFont"/>
    <w:link w:val="Heading2"/>
    <w:locked/>
    <w:rsid w:val="00CB1536"/>
    <w:rPr>
      <w:lang w:val="el-GR" w:eastAsia="en-US" w:bidi="ar-SA"/>
    </w:rPr>
  </w:style>
  <w:style w:type="character" w:customStyle="1" w:styleId="Heading3Char">
    <w:name w:val="Heading 3 Char"/>
    <w:basedOn w:val="DefaultParagraphFont"/>
    <w:link w:val="Heading3"/>
    <w:locked/>
    <w:rsid w:val="00CB1536"/>
    <w:rPr>
      <w:lang w:val="el-GR" w:eastAsia="en-US" w:bidi="ar-SA"/>
    </w:rPr>
  </w:style>
  <w:style w:type="character" w:customStyle="1" w:styleId="Heading4Char">
    <w:name w:val="Heading 4 Char"/>
    <w:basedOn w:val="DefaultParagraphFont"/>
    <w:link w:val="Heading4"/>
    <w:locked/>
    <w:rsid w:val="00CB1536"/>
    <w:rPr>
      <w:lang w:val="el-GR" w:eastAsia="en-US" w:bidi="ar-SA"/>
    </w:rPr>
  </w:style>
  <w:style w:type="character" w:customStyle="1" w:styleId="Heading5Char">
    <w:name w:val="Heading 5 Char"/>
    <w:basedOn w:val="DefaultParagraphFont"/>
    <w:link w:val="Heading5"/>
    <w:locked/>
    <w:rsid w:val="00CB1536"/>
    <w:rPr>
      <w:lang w:val="el-GR" w:eastAsia="en-US" w:bidi="ar-SA"/>
    </w:rPr>
  </w:style>
  <w:style w:type="character" w:customStyle="1" w:styleId="Heading6Char">
    <w:name w:val="Heading 6 Char"/>
    <w:basedOn w:val="DefaultParagraphFont"/>
    <w:link w:val="Heading6"/>
    <w:locked/>
    <w:rsid w:val="00CB1536"/>
    <w:rPr>
      <w:lang w:val="el-GR" w:eastAsia="en-US" w:bidi="ar-SA"/>
    </w:rPr>
  </w:style>
  <w:style w:type="character" w:customStyle="1" w:styleId="Heading7Char">
    <w:name w:val="Heading 7 Char"/>
    <w:basedOn w:val="DefaultParagraphFont"/>
    <w:link w:val="Heading7"/>
    <w:locked/>
    <w:rsid w:val="00CB1536"/>
    <w:rPr>
      <w:lang w:val="el-GR" w:eastAsia="en-US" w:bidi="ar-SA"/>
    </w:rPr>
  </w:style>
  <w:style w:type="character" w:customStyle="1" w:styleId="Heading8Char">
    <w:name w:val="Heading 8 Char"/>
    <w:basedOn w:val="DefaultParagraphFont"/>
    <w:link w:val="Heading8"/>
    <w:locked/>
    <w:rsid w:val="00CB1536"/>
    <w:rPr>
      <w:lang w:val="el-GR" w:eastAsia="en-US" w:bidi="ar-SA"/>
    </w:rPr>
  </w:style>
  <w:style w:type="character" w:customStyle="1" w:styleId="Heading9Char">
    <w:name w:val="Heading 9 Char"/>
    <w:basedOn w:val="DefaultParagraphFont"/>
    <w:link w:val="Heading9"/>
    <w:locked/>
    <w:rsid w:val="00CB1536"/>
    <w:rPr>
      <w:lang w:val="el-GR"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l-GR"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el-GR"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L/TXT/?qid=1605625322451&amp;uri=CELEX%3A52020PC0595" TargetMode="External"/><Relationship Id="rId3" Type="http://schemas.openxmlformats.org/officeDocument/2006/relationships/hyperlink" Target="https://eur-lex.europa.eu/legal-content/EL/TXT/?qid=1605625281051&amp;uri=CELEX%3A52020PC0593" TargetMode="External"/><Relationship Id="rId7" Type="http://schemas.openxmlformats.org/officeDocument/2006/relationships/hyperlink" Target="https://eur-lex.europa.eu/legal-content/EL/TXT/?qid=1601415540830&amp;uri=CELEX%3A52020AE1042" TargetMode="External"/><Relationship Id="rId2" Type="http://schemas.openxmlformats.org/officeDocument/2006/relationships/hyperlink" Target="https://eur-lex.europa.eu/legal-content/EL/TXT/?uri=COM%3A2020%3A0592%3AFIN" TargetMode="External"/><Relationship Id="rId1" Type="http://schemas.openxmlformats.org/officeDocument/2006/relationships/hyperlink" Target="https://eur-lex.europa.eu/legal-content/EL/TXT/?uri=CELEX%3A52020DC0591" TargetMode="External"/><Relationship Id="rId6" Type="http://schemas.openxmlformats.org/officeDocument/2006/relationships/hyperlink" Target="https://eur-lex.europa.eu/legal-content/EL/TXT/?qid=1605625359281&amp;uri=CELEX%3A52020PC0596" TargetMode="External"/><Relationship Id="rId5" Type="http://schemas.openxmlformats.org/officeDocument/2006/relationships/hyperlink" Target="https://eur-lex.europa.eu/legal-content/EL/TXT/?qid=1605625322451&amp;uri=CELEX%3A52020PC0595" TargetMode="External"/><Relationship Id="rId4" Type="http://schemas.openxmlformats.org/officeDocument/2006/relationships/hyperlink" Target="https://eur-lex.europa.eu/legal-content/EL/TXT/?uri=CELEX%3A52020PC0594" TargetMode="External"/><Relationship Id="rId9" Type="http://schemas.openxmlformats.org/officeDocument/2006/relationships/hyperlink" Target="https://www.eesc.europa.eu/el/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VV634QRNENMJ-592872750-7321</_dlc_DocId>
    <_dlc_DocIdUrl xmlns="cda99570-6012-4083-bfeb-7d32ad1ce1a3">
      <Url>http://dm2016/eesc/2020/_layouts/15/DocIdRedir.aspx?ID=VV634QRNENMJ-592872750-7321</Url>
      <Description>VV634QRNENMJ-592872750-7321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2A59A045-6EDE-4D0A-9D5B-2EEF96FECEC3}"/>
</file>

<file path=customXml/itemProps2.xml><?xml version="1.0" encoding="utf-8"?>
<ds:datastoreItem xmlns:ds="http://schemas.openxmlformats.org/officeDocument/2006/customXml" ds:itemID="{8EB18CE0-F645-4C84-B70E-6DC4D9CD2430}"/>
</file>

<file path=customXml/itemProps3.xml><?xml version="1.0" encoding="utf-8"?>
<ds:datastoreItem xmlns:ds="http://schemas.openxmlformats.org/officeDocument/2006/customXml" ds:itemID="{D76BB15F-9CFF-466D-B68A-631F043A310A}"/>
</file>

<file path=customXml/itemProps4.xml><?xml version="1.0" encoding="utf-8"?>
<ds:datastoreItem xmlns:ds="http://schemas.openxmlformats.org/officeDocument/2006/customXml" ds:itemID="{9D4D9E7C-A0F3-41C5-92ED-F003000769CC}"/>
</file>

<file path=docProps/app.xml><?xml version="1.0" encoding="utf-8"?>
<Properties xmlns="http://schemas.openxmlformats.org/officeDocument/2006/extended-properties" xmlns:vt="http://schemas.openxmlformats.org/officeDocument/2006/docPropsVTypes">
  <Template>Styles</Template>
  <TotalTime>1</TotalTime>
  <Pages>7</Pages>
  <Words>2197</Words>
  <Characters>12525</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Στρατηγική ψηφιακών χρηματοοικονομικών υπηρεσιών</dc:title>
  <dc:subject>Γνωμοδότηση της Επιτροπής</dc:subject>
  <dc:creator>Tomas Vocasek</dc:creator>
  <cp:keywords>EESC-2020-04935-00-00-AC-TRA-EN</cp:keywords>
  <dc:description>Rapporteur: DANDEA &amp; FRANK VON FÜRSTENWERTH - Original language: EN - Date of document: 02/03/2021 - Date of meeting:  - External documents: COM(2020)591-final - Administrator: M. KLEC Gerald</dc:description>
  <cp:lastModifiedBy>Skarpas Georges</cp:lastModifiedBy>
  <cp:revision>6</cp:revision>
  <cp:lastPrinted>2016-01-26T08:31:00Z</cp:lastPrinted>
  <dcterms:created xsi:type="dcterms:W3CDTF">2021-03-01T07:31:00Z</dcterms:created>
  <dcterms:modified xsi:type="dcterms:W3CDTF">2021-03-02T09:36:00Z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57a82d70-b78c-4061-ae47-a2ec354a4465</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BG|1a1b3951-7821-4e6a-85f5-5673fc08bd2c;DA|5d49c027-8956-412b-aa16-e85a0f96ad0e;ET|ff6c3f4c-b02c-4c3c-ab07-2c37995a7a0a;EN|f2175f21-25d7-44a3-96da-d6a61b075e1b;DE|f6b31e5a-26fa-4935-b661-318e46daf27e;MT|7df99101-6854-4a26-b53a-b88c0da02c26;PL|1e03da61-4678-4e07-b136-b5024ca9197b;CS|72f9705b-0217-4fd3-bea2-cbc7ed80e26e;PT|50ccc04a-eadd-42ae-a0cb-acaf45f812ba;ES|e7a6b05b-ae16-40c8-add9-68b64b03aeba;NL|55c6556c-b4f4-441d-9acf-c498d4f838bd;LV|46f7e311-5d9f-4663-b433-18aeccb7ace7;FR|d2afafd3-4c81-4f60-8f52-ee33f2f54ff3</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32;#DA|5d49c027-8956-412b-aa16-e85a0f96ad0e;#31;#CS|72f9705b-0217-4fd3-bea2-cbc7ed80e26e;#29;#PT|50ccc04a-eadd-42ae-a0cb-acaf45f812ba;#24;#LV|46f7e311-5d9f-4663-b433-18aeccb7ace7;#80;#ECO|8df351f5-c957-404c-8cf3-8ffb22c9cba2;#9;#PL|1e03da61-4678-4e07-b136-b5024ca9197b;#16;#ES|e7a6b05b-ae16-40c8-add9-68b64b03aeba;#10;#DE|f6b31e5a-26fa-4935-b661-318e46daf27e;#11;#FR|d2afafd3-4c81-4f60-8f52-ee33f2f54ff3;#47;#ET|ff6c3f4c-b02c-4c3c-ab07-2c37995a7a0a;#46;#SK|46d9fce0-ef79-4f71-b89b-cd6aa82426b8;#41;#NL|55c6556c-b4f4-441d-9acf-c498d4f838bd;#44;#BG|1a1b3951-7821-4e6a-85f5-5673fc08bd2c;#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38;#EL|6d4f4d51-af9b-4650-94b4-4276bee85c91</vt:lpwstr>
  </property>
</Properties>
</file>