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C35C5" w:rsidR="00646AC2" w:rsidP="008C74D9" w:rsidRDefault="008C74D9">
      <w:pPr>
        <w:jc w:val="center"/>
      </w:pPr>
      <w:bookmarkStart w:name="_GoBack" w:id="0"/>
      <w:bookmarkEnd w:id="0"/>
      <w:r w:rsidRPr="00FC35C5">
        <w:rPr>
          <w:noProof/>
          <w:lang w:val="en-US"/>
        </w:rPr>
        <w:drawing>
          <wp:inline distT="0" distB="0" distL="0" distR="0" wp14:anchorId="3763585C" wp14:editId="09A5E8A4">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7">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Pr="00FC35C5" w:rsidR="002C1DB1">
        <w:rPr>
          <w:noProof/>
          <w:sz w:val="20"/>
          <w:lang w:val="en-US"/>
        </w:rPr>
        <mc:AlternateContent>
          <mc:Choice Requires="wps">
            <w:drawing>
              <wp:anchor distT="0" distB="0" distL="114300" distR="114300" simplePos="0" relativeHeight="251659264" behindDoc="1" locked="0" layoutInCell="0" allowOverlap="1" wp14:editId="15FE452D" wp14:anchorId="131133D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C1DB1" w:rsidRDefault="002C1DB1">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31133D6">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C1DB1" w:rsidRDefault="002C1DB1">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rsidRPr="00FC35C5" w:rsidR="008C74D9" w:rsidP="0015678B" w:rsidRDefault="008C74D9"/>
    <w:p w:rsidRPr="00FC35C5" w:rsidR="00646AC2" w:rsidP="0015678B" w:rsidRDefault="00AA5798">
      <w:pPr>
        <w:jc w:val="right"/>
      </w:pPr>
      <w:r w:rsidRPr="00FC35C5">
        <w:rPr>
          <w:b/>
        </w:rPr>
        <w:t>ECO</w:t>
      </w:r>
      <w:r w:rsidRPr="00FC35C5" w:rsidR="009B30AA">
        <w:rPr>
          <w:b/>
        </w:rPr>
        <w:t>/</w:t>
      </w:r>
      <w:r w:rsidRPr="00FC35C5">
        <w:rPr>
          <w:b/>
        </w:rPr>
        <w:t>534</w:t>
      </w:r>
    </w:p>
    <w:p w:rsidRPr="00FC35C5" w:rsidR="00563C84" w:rsidP="0015678B" w:rsidRDefault="00AA5798">
      <w:pPr>
        <w:jc w:val="right"/>
      </w:pPr>
      <w:r w:rsidRPr="00FC35C5">
        <w:rPr>
          <w:b/>
        </w:rPr>
        <w:t>Digital Finance Strategy</w:t>
      </w:r>
    </w:p>
    <w:p w:rsidRPr="00FC35C5" w:rsidR="009B30AA" w:rsidP="0015678B" w:rsidRDefault="009B30AA"/>
    <w:p w:rsidRPr="00FC35C5" w:rsidR="009B30AA" w:rsidP="0015678B" w:rsidRDefault="009B30AA"/>
    <w:p w:rsidRPr="00FC35C5" w:rsidR="00646AC2" w:rsidP="0015678B" w:rsidRDefault="00804B96">
      <w:pPr>
        <w:jc w:val="center"/>
      </w:pPr>
      <w:r w:rsidRPr="00FC35C5">
        <w:rPr>
          <w:b/>
          <w:sz w:val="28"/>
        </w:rPr>
        <w:t>OPINION</w:t>
      </w:r>
      <w:r w:rsidRPr="00FC35C5" w:rsidR="00563C84">
        <w:br/>
      </w:r>
      <w:r w:rsidRPr="00FC35C5" w:rsidR="00563C84">
        <w:br/>
      </w:r>
      <w:r w:rsidRPr="00B379C8" w:rsidR="00B379C8">
        <w:t>European Economic and Social Committee</w:t>
      </w:r>
      <w:r w:rsidRPr="00B379C8" w:rsidDel="00B379C8" w:rsidR="00B379C8">
        <w:t xml:space="preserve"> </w:t>
      </w:r>
      <w:r w:rsidRPr="00FC35C5" w:rsidR="00563C84">
        <w:br/>
      </w:r>
      <w:r w:rsidRPr="00FC35C5" w:rsidR="00563C84">
        <w:br/>
      </w:r>
      <w:r w:rsidRPr="00FC35C5" w:rsidR="007A3915">
        <w:rPr>
          <w:b/>
        </w:rPr>
        <w:t>Communication from the Commission to the European Parliament, the Council, the European Economic and Social Committee and the Committee of the Region</w:t>
      </w:r>
      <w:r w:rsidRPr="00FC35C5" w:rsidR="00992856">
        <w:rPr>
          <w:b/>
        </w:rPr>
        <w:t>s</w:t>
      </w:r>
      <w:r w:rsidRPr="00FC35C5" w:rsidR="0080698D">
        <w:rPr>
          <w:b/>
        </w:rPr>
        <w:br/>
      </w:r>
      <w:r w:rsidRPr="00FC35C5" w:rsidR="0007468D">
        <w:rPr>
          <w:b/>
        </w:rPr>
        <w:t xml:space="preserve">A </w:t>
      </w:r>
      <w:r w:rsidRPr="00FC35C5" w:rsidR="007A3915">
        <w:rPr>
          <w:b/>
        </w:rPr>
        <w:t xml:space="preserve">Digital Finance Strategy for </w:t>
      </w:r>
      <w:r w:rsidRPr="00FC35C5" w:rsidR="00992856">
        <w:rPr>
          <w:b/>
        </w:rPr>
        <w:t xml:space="preserve">the </w:t>
      </w:r>
      <w:r w:rsidRPr="00FC35C5" w:rsidR="007A3915">
        <w:rPr>
          <w:b/>
        </w:rPr>
        <w:t>EU</w:t>
      </w:r>
      <w:r w:rsidRPr="00FC35C5" w:rsidR="00563C84">
        <w:br/>
      </w:r>
      <w:r w:rsidRPr="00FC35C5" w:rsidR="00525F6C">
        <w:t>[</w:t>
      </w:r>
      <w:r w:rsidRPr="00FC35C5" w:rsidR="001C0ABE">
        <w:t>COM</w:t>
      </w:r>
      <w:r w:rsidRPr="00FC35C5" w:rsidR="00011D33">
        <w:t>(</w:t>
      </w:r>
      <w:r w:rsidRPr="00FC35C5" w:rsidR="00222006">
        <w:t>2020</w:t>
      </w:r>
      <w:r w:rsidRPr="00FC35C5" w:rsidR="00011D33">
        <w:t>)</w:t>
      </w:r>
      <w:r w:rsidRPr="00FC35C5" w:rsidR="00222006">
        <w:t xml:space="preserve"> 591 final</w:t>
      </w:r>
      <w:r w:rsidRPr="00FC35C5" w:rsidR="00525F6C">
        <w:t>]</w:t>
      </w:r>
    </w:p>
    <w:p w:rsidRPr="00FC35C5" w:rsidR="009B30AA" w:rsidP="0015678B" w:rsidRDefault="009B30AA">
      <w:pPr>
        <w:jc w:val="center"/>
      </w:pPr>
    </w:p>
    <w:p w:rsidRPr="00FC35C5" w:rsidR="00704FBB" w:rsidP="0015678B" w:rsidRDefault="007F5E0D">
      <w:pPr>
        <w:jc w:val="center"/>
        <w:rPr>
          <w:b/>
        </w:rPr>
      </w:pPr>
      <w:r w:rsidRPr="00FC35C5">
        <w:t>Rapporteur:</w:t>
      </w:r>
      <w:r w:rsidRPr="00FC35C5" w:rsidR="008C6F5E">
        <w:t xml:space="preserve"> </w:t>
      </w:r>
      <w:r w:rsidRPr="00FC35C5" w:rsidR="008C6F5E">
        <w:rPr>
          <w:b/>
        </w:rPr>
        <w:t xml:space="preserve">Petru Sorin </w:t>
      </w:r>
      <w:r w:rsidRPr="00FC35C5" w:rsidR="0030651D">
        <w:rPr>
          <w:b/>
        </w:rPr>
        <w:t>DANDEA</w:t>
      </w:r>
    </w:p>
    <w:p w:rsidRPr="00FC35C5" w:rsidR="00E97E0E" w:rsidP="0015678B" w:rsidRDefault="00840F00">
      <w:pPr>
        <w:jc w:val="center"/>
        <w:rPr>
          <w:b/>
        </w:rPr>
      </w:pPr>
      <w:r w:rsidRPr="00FC35C5">
        <w:t>Co-</w:t>
      </w:r>
      <w:r w:rsidRPr="00FC35C5" w:rsidR="00CC523C">
        <w:t>r</w:t>
      </w:r>
      <w:r w:rsidRPr="00FC35C5">
        <w:t xml:space="preserve">apporteur: </w:t>
      </w:r>
      <w:r w:rsidRPr="00FC35C5" w:rsidR="0080698D">
        <w:rPr>
          <w:b/>
        </w:rPr>
        <w:t xml:space="preserve">Jörg Freiherr </w:t>
      </w:r>
      <w:r w:rsidRPr="00FC35C5" w:rsidR="0030651D">
        <w:rPr>
          <w:b/>
        </w:rPr>
        <w:t>FRANK VON FÜRSTENWERTH</w:t>
      </w:r>
    </w:p>
    <w:p w:rsidR="00E97E0E" w:rsidP="0015678B" w:rsidRDefault="00E97E0E">
      <w:pPr>
        <w:sectPr w:rsidR="00E97E0E" w:rsidSect="009A7239">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Pr="00FC35C5" w:rsidR="0011656A" w:rsidTr="00E670BD">
        <w:tc>
          <w:tcPr>
            <w:tcW w:w="3055" w:type="dxa"/>
          </w:tcPr>
          <w:p w:rsidRPr="00FC35C5" w:rsidR="0011656A" w:rsidP="004A5738" w:rsidRDefault="004A5738">
            <w:pPr>
              <w:jc w:val="left"/>
            </w:pPr>
            <w:r w:rsidRPr="00FC35C5">
              <w:lastRenderedPageBreak/>
              <w:t>Referral</w:t>
            </w:r>
          </w:p>
        </w:tc>
        <w:tc>
          <w:tcPr>
            <w:tcW w:w="6018" w:type="dxa"/>
          </w:tcPr>
          <w:p w:rsidRPr="00FC35C5" w:rsidR="0011656A" w:rsidP="00AE1808" w:rsidRDefault="00222006">
            <w:pPr>
              <w:jc w:val="left"/>
            </w:pPr>
            <w:r w:rsidRPr="00FC35C5">
              <w:t>European Commission</w:t>
            </w:r>
            <w:r w:rsidRPr="00FC35C5" w:rsidR="00F648EA">
              <w:t xml:space="preserve">, </w:t>
            </w:r>
            <w:r w:rsidRPr="00FC35C5" w:rsidR="00AE1808">
              <w:t>11/11/2020</w:t>
            </w:r>
          </w:p>
        </w:tc>
      </w:tr>
      <w:tr w:rsidRPr="00FC35C5" w:rsidR="0016503F" w:rsidTr="00E670BD">
        <w:trPr>
          <w:trHeight w:val="251"/>
        </w:trPr>
        <w:tc>
          <w:tcPr>
            <w:tcW w:w="3055" w:type="dxa"/>
          </w:tcPr>
          <w:p w:rsidRPr="00FC35C5" w:rsidR="0016503F" w:rsidP="0015678B" w:rsidRDefault="0016503F">
            <w:pPr>
              <w:jc w:val="left"/>
            </w:pPr>
            <w:r w:rsidRPr="00FC35C5">
              <w:t>Legal basis</w:t>
            </w:r>
          </w:p>
        </w:tc>
        <w:tc>
          <w:tcPr>
            <w:tcW w:w="6018" w:type="dxa"/>
          </w:tcPr>
          <w:p w:rsidRPr="00FC35C5" w:rsidR="0016503F" w:rsidP="0015678B" w:rsidRDefault="0016503F">
            <w:pPr>
              <w:jc w:val="left"/>
            </w:pPr>
            <w:r w:rsidRPr="00FC35C5">
              <w:t xml:space="preserve">Article </w:t>
            </w:r>
            <w:r w:rsidRPr="00FC35C5" w:rsidR="00222006">
              <w:t>304</w:t>
            </w:r>
            <w:r w:rsidRPr="00FC35C5">
              <w:t xml:space="preserve"> of the Treaty on the Functioning of the European Union</w:t>
            </w:r>
          </w:p>
        </w:tc>
      </w:tr>
      <w:tr w:rsidRPr="00FC35C5" w:rsidR="0016503F" w:rsidTr="00E670BD">
        <w:trPr>
          <w:trHeight w:val="250"/>
        </w:trPr>
        <w:tc>
          <w:tcPr>
            <w:tcW w:w="3055" w:type="dxa"/>
          </w:tcPr>
          <w:p w:rsidRPr="00FC35C5" w:rsidR="0016503F" w:rsidP="0015678B" w:rsidRDefault="0016503F">
            <w:pPr>
              <w:jc w:val="left"/>
            </w:pPr>
          </w:p>
        </w:tc>
        <w:tc>
          <w:tcPr>
            <w:tcW w:w="6018" w:type="dxa"/>
          </w:tcPr>
          <w:p w:rsidRPr="00FC35C5" w:rsidR="0016503F" w:rsidP="0015678B" w:rsidRDefault="0016503F">
            <w:pPr>
              <w:jc w:val="left"/>
            </w:pPr>
          </w:p>
        </w:tc>
      </w:tr>
      <w:tr w:rsidRPr="00FC35C5" w:rsidR="00DF5B64" w:rsidTr="00E670BD">
        <w:tc>
          <w:tcPr>
            <w:tcW w:w="3055" w:type="dxa"/>
          </w:tcPr>
          <w:p w:rsidRPr="00FC35C5" w:rsidR="00DF5B64" w:rsidP="0015678B" w:rsidRDefault="00AD4B4F">
            <w:pPr>
              <w:jc w:val="left"/>
            </w:pPr>
            <w:r w:rsidRPr="00FC35C5">
              <w:t>Section responsible</w:t>
            </w:r>
          </w:p>
        </w:tc>
        <w:tc>
          <w:tcPr>
            <w:tcW w:w="6018" w:type="dxa"/>
          </w:tcPr>
          <w:p w:rsidRPr="00FC35C5" w:rsidR="00DF5B64" w:rsidP="0015678B" w:rsidRDefault="00AA5798">
            <w:pPr>
              <w:jc w:val="left"/>
            </w:pPr>
            <w:r w:rsidRPr="00FC35C5">
              <w:t>Economic and Monetary Union and Economic and Social Cohesion</w:t>
            </w:r>
          </w:p>
        </w:tc>
      </w:tr>
      <w:tr w:rsidRPr="00FC35C5" w:rsidR="00A156E6" w:rsidTr="00E670BD">
        <w:tc>
          <w:tcPr>
            <w:tcW w:w="3055" w:type="dxa"/>
          </w:tcPr>
          <w:p w:rsidRPr="00FC35C5" w:rsidR="00A156E6" w:rsidP="0015678B" w:rsidRDefault="00A156E6">
            <w:pPr>
              <w:jc w:val="left"/>
            </w:pPr>
            <w:r w:rsidRPr="00FC35C5">
              <w:t>Adopted in section</w:t>
            </w:r>
          </w:p>
        </w:tc>
        <w:tc>
          <w:tcPr>
            <w:tcW w:w="6018" w:type="dxa"/>
          </w:tcPr>
          <w:p w:rsidRPr="00FC35C5" w:rsidR="00A156E6" w:rsidP="0015678B" w:rsidRDefault="00383C10">
            <w:pPr>
              <w:jc w:val="left"/>
            </w:pPr>
            <w:r>
              <w:t>12/02/2021</w:t>
            </w:r>
          </w:p>
        </w:tc>
      </w:tr>
      <w:tr w:rsidRPr="00FC35C5" w:rsidR="00A156E6" w:rsidTr="00E670BD">
        <w:tc>
          <w:tcPr>
            <w:tcW w:w="3055" w:type="dxa"/>
          </w:tcPr>
          <w:p w:rsidRPr="00FC35C5" w:rsidR="00A156E6" w:rsidP="0015678B" w:rsidRDefault="00A156E6">
            <w:pPr>
              <w:jc w:val="left"/>
            </w:pPr>
            <w:r w:rsidRPr="00FC35C5">
              <w:t>Adopted at plenary</w:t>
            </w:r>
          </w:p>
        </w:tc>
        <w:tc>
          <w:tcPr>
            <w:tcW w:w="6018" w:type="dxa"/>
          </w:tcPr>
          <w:p w:rsidRPr="00FC35C5" w:rsidR="00A156E6" w:rsidRDefault="00E97E0E">
            <w:pPr>
              <w:jc w:val="left"/>
            </w:pPr>
            <w:r>
              <w:t>24</w:t>
            </w:r>
            <w:r w:rsidRPr="00FC35C5" w:rsidR="003439AB">
              <w:t>/</w:t>
            </w:r>
            <w:r>
              <w:t>02</w:t>
            </w:r>
            <w:r w:rsidRPr="00FC35C5" w:rsidR="003439AB">
              <w:t>/</w:t>
            </w:r>
            <w:r>
              <w:t>2021</w:t>
            </w:r>
          </w:p>
        </w:tc>
      </w:tr>
      <w:tr w:rsidRPr="00FC35C5" w:rsidR="00BA1290" w:rsidTr="00E670BD">
        <w:tc>
          <w:tcPr>
            <w:tcW w:w="3055" w:type="dxa"/>
          </w:tcPr>
          <w:p w:rsidRPr="00FC35C5" w:rsidR="00BA1290" w:rsidP="0015678B" w:rsidRDefault="00BA1290">
            <w:pPr>
              <w:jc w:val="left"/>
            </w:pPr>
            <w:r w:rsidRPr="00FC35C5">
              <w:t>Plenary session No</w:t>
            </w:r>
          </w:p>
        </w:tc>
        <w:tc>
          <w:tcPr>
            <w:tcW w:w="6018" w:type="dxa"/>
          </w:tcPr>
          <w:p w:rsidRPr="00FC35C5" w:rsidR="00BA1290" w:rsidP="0015678B" w:rsidRDefault="00B379C8">
            <w:pPr>
              <w:jc w:val="left"/>
            </w:pPr>
            <w:r>
              <w:t>558</w:t>
            </w:r>
          </w:p>
        </w:tc>
      </w:tr>
      <w:tr w:rsidRPr="00FC35C5" w:rsidR="00A156E6" w:rsidTr="00E670BD">
        <w:tc>
          <w:tcPr>
            <w:tcW w:w="3055" w:type="dxa"/>
          </w:tcPr>
          <w:p w:rsidRPr="00FC35C5" w:rsidR="00D423D4" w:rsidP="0015678B" w:rsidRDefault="0043024C">
            <w:pPr>
              <w:jc w:val="left"/>
            </w:pPr>
            <w:r w:rsidRPr="00FC35C5">
              <w:t xml:space="preserve">Outcome of </w:t>
            </w:r>
            <w:r w:rsidRPr="00FC35C5" w:rsidR="007622A7">
              <w:t>vote</w:t>
            </w:r>
            <w:r w:rsidRPr="00FC35C5" w:rsidR="00F20987">
              <w:br/>
            </w:r>
            <w:r w:rsidRPr="00FC35C5">
              <w:t>(</w:t>
            </w:r>
            <w:r w:rsidRPr="00FC35C5" w:rsidR="007622A7">
              <w:t>for</w:t>
            </w:r>
            <w:r w:rsidRPr="00FC35C5">
              <w:t>/against/abstentions)</w:t>
            </w:r>
          </w:p>
        </w:tc>
        <w:tc>
          <w:tcPr>
            <w:tcW w:w="6018" w:type="dxa"/>
            <w:vAlign w:val="bottom"/>
          </w:tcPr>
          <w:p w:rsidRPr="00FC35C5" w:rsidR="00A156E6" w:rsidP="0015678B" w:rsidRDefault="00B379C8">
            <w:pPr>
              <w:jc w:val="left"/>
            </w:pPr>
            <w:r>
              <w:t>237</w:t>
            </w:r>
            <w:r w:rsidRPr="00FC35C5" w:rsidR="00A156E6">
              <w:t>/</w:t>
            </w:r>
            <w:r>
              <w:t>0</w:t>
            </w:r>
            <w:r w:rsidRPr="00FC35C5" w:rsidR="00A156E6">
              <w:t>/</w:t>
            </w:r>
            <w:r>
              <w:t>5</w:t>
            </w:r>
          </w:p>
        </w:tc>
      </w:tr>
    </w:tbl>
    <w:p w:rsidRPr="00FC35C5" w:rsidR="0090053A" w:rsidP="0015678B" w:rsidRDefault="0090053A"/>
    <w:p w:rsidRPr="00FC35C5" w:rsidR="00646AC2" w:rsidP="0015678B" w:rsidRDefault="00646AC2">
      <w:r w:rsidRPr="00FC35C5">
        <w:br w:type="page"/>
      </w:r>
    </w:p>
    <w:p w:rsidRPr="00FC35C5" w:rsidR="00011D33" w:rsidP="0015678B" w:rsidRDefault="00011D33">
      <w:pPr>
        <w:pStyle w:val="Heading1"/>
        <w:keepNext/>
        <w:rPr>
          <w:b/>
        </w:rPr>
      </w:pPr>
      <w:r w:rsidRPr="00FC35C5">
        <w:rPr>
          <w:b/>
        </w:rPr>
        <w:t>Conclusions and recommendations</w:t>
      </w:r>
    </w:p>
    <w:p w:rsidRPr="00FC35C5" w:rsidR="00011D33" w:rsidP="0015678B" w:rsidRDefault="00011D33">
      <w:pPr>
        <w:keepNext/>
      </w:pPr>
    </w:p>
    <w:p w:rsidRPr="00FC35C5" w:rsidR="00D94CAF" w:rsidP="00D94CAF" w:rsidRDefault="00D94CAF">
      <w:pPr>
        <w:pStyle w:val="Heading2"/>
      </w:pPr>
      <w:r w:rsidRPr="00FC35C5">
        <w:t xml:space="preserve">The EESC welcomes the Digital Finance Package launched by the Commission and </w:t>
      </w:r>
      <w:r w:rsidR="00FC35C5">
        <w:t>believes</w:t>
      </w:r>
      <w:r w:rsidRPr="00FC35C5">
        <w:t xml:space="preserve"> that it contains strategic legislative and non-legislative elements aimed at developing the sector.</w:t>
      </w:r>
    </w:p>
    <w:p w:rsidRPr="00FC35C5" w:rsidR="00D94CAF" w:rsidP="00D94CAF" w:rsidRDefault="00D94CAF"/>
    <w:p w:rsidRPr="00FC35C5" w:rsidR="00D94CAF" w:rsidP="00D94CAF" w:rsidRDefault="00D94CAF">
      <w:pPr>
        <w:pStyle w:val="Heading2"/>
      </w:pPr>
      <w:r w:rsidRPr="00FC35C5">
        <w:t>The four-priority program</w:t>
      </w:r>
      <w:r w:rsidR="00FC35C5">
        <w:t>me</w:t>
      </w:r>
      <w:r w:rsidRPr="00FC35C5">
        <w:t xml:space="preserve"> presented by the Commission essentially covers almost all important areas of activity in the digital transformation of the EU financial sector. The EESC supports these approaches </w:t>
      </w:r>
      <w:r w:rsidR="008101D3">
        <w:t>by</w:t>
      </w:r>
      <w:r w:rsidRPr="00FC35C5">
        <w:t xml:space="preserve"> the Commission.</w:t>
      </w:r>
    </w:p>
    <w:p w:rsidRPr="00FC35C5" w:rsidR="00D94CAF" w:rsidP="00D94CAF" w:rsidRDefault="00D94CAF"/>
    <w:p w:rsidRPr="00FC35C5" w:rsidR="00D94CAF" w:rsidP="00D94CAF" w:rsidRDefault="00D94CAF">
      <w:pPr>
        <w:pStyle w:val="Heading2"/>
      </w:pPr>
      <w:r w:rsidRPr="00FC35C5">
        <w:t>The Commission is on the right track to rely on strong European market participants to implement digital financial services, but the EESC considers that the special role of speciali</w:t>
      </w:r>
      <w:r w:rsidR="00FC35C5">
        <w:t>s</w:t>
      </w:r>
      <w:r w:rsidRPr="00FC35C5">
        <w:t>ed, regional or/and cooperative or mutual local providers in the financial sector must not be neglected.</w:t>
      </w:r>
    </w:p>
    <w:p w:rsidRPr="00FC35C5" w:rsidR="00D94CAF" w:rsidP="00D94CAF" w:rsidRDefault="00D94CAF"/>
    <w:p w:rsidRPr="00FC35C5" w:rsidR="00D94CAF" w:rsidP="00D94CAF" w:rsidRDefault="00FC35C5">
      <w:pPr>
        <w:pStyle w:val="Heading2"/>
      </w:pPr>
      <w:r>
        <w:t>D</w:t>
      </w:r>
      <w:r w:rsidRPr="00FC35C5" w:rsidR="00D94CAF">
        <w:t>ue to the digitali</w:t>
      </w:r>
      <w:r>
        <w:t>s</w:t>
      </w:r>
      <w:r w:rsidRPr="00FC35C5" w:rsidR="00D94CAF">
        <w:t xml:space="preserve">ation process, </w:t>
      </w:r>
      <w:r>
        <w:t>t</w:t>
      </w:r>
      <w:r w:rsidRPr="00FC35C5">
        <w:t xml:space="preserve">he EU financial sector is facing </w:t>
      </w:r>
      <w:r w:rsidRPr="00FC35C5" w:rsidR="00D94CAF">
        <w:t>a huge transformation process that goes hand in hand with far-reaching restructuring processes, closing of local branches, changes in the professional qualifications of employees and completely new forms of work. These ma</w:t>
      </w:r>
      <w:r>
        <w:t>j</w:t>
      </w:r>
      <w:r w:rsidRPr="00FC35C5" w:rsidR="00D94CAF">
        <w:t xml:space="preserve">or challenges must not be ignored. They represent a great challenge for providers and </w:t>
      </w:r>
      <w:r w:rsidRPr="00FC35C5" w:rsidR="00514827">
        <w:t>–</w:t>
      </w:r>
      <w:r w:rsidRPr="00FC35C5" w:rsidR="00D94CAF">
        <w:t xml:space="preserve"> of course </w:t>
      </w:r>
      <w:r w:rsidRPr="00FC35C5" w:rsidR="00514827">
        <w:t>–</w:t>
      </w:r>
      <w:r w:rsidRPr="00FC35C5" w:rsidR="00D94CAF">
        <w:t xml:space="preserve"> for employees in the financial sector.</w:t>
      </w:r>
    </w:p>
    <w:p w:rsidRPr="00FC35C5" w:rsidR="00D94CAF" w:rsidP="00D94CAF" w:rsidRDefault="00D94CAF"/>
    <w:p w:rsidRPr="00FC35C5" w:rsidR="00D94CAF" w:rsidP="00D94CAF" w:rsidRDefault="00D94CAF">
      <w:pPr>
        <w:pStyle w:val="Heading2"/>
      </w:pPr>
      <w:r w:rsidRPr="00FC35C5">
        <w:t xml:space="preserve">The Commission announces the need to explore </w:t>
      </w:r>
      <w:r w:rsidR="008101D3">
        <w:t>setting up</w:t>
      </w:r>
      <w:r w:rsidRPr="00FC35C5">
        <w:t xml:space="preserve"> an EU digital finance platform. The EESC agrees and recommends the inclusion of the social partners and civil society representatives</w:t>
      </w:r>
      <w:r w:rsidR="000244DD">
        <w:t xml:space="preserve"> in this process</w:t>
      </w:r>
      <w:r w:rsidRPr="00FC35C5">
        <w:t>.</w:t>
      </w:r>
    </w:p>
    <w:p w:rsidRPr="00FC35C5" w:rsidR="00D94CAF" w:rsidP="00D94CAF" w:rsidRDefault="00D94CAF"/>
    <w:p w:rsidRPr="00FC35C5" w:rsidR="00D94CAF" w:rsidP="00D94CAF" w:rsidRDefault="00D94CAF">
      <w:pPr>
        <w:pStyle w:val="Heading2"/>
      </w:pPr>
      <w:r w:rsidRPr="00FC35C5">
        <w:t>The EESC considers that in addressing the challenges and risks associated with digital transformation, regulation for technology provider</w:t>
      </w:r>
      <w:r w:rsidR="008101D3">
        <w:t>s</w:t>
      </w:r>
      <w:r w:rsidRPr="00FC35C5">
        <w:t>, protecting consumers, granting access to financial services, operational resilience</w:t>
      </w:r>
      <w:r w:rsidR="001B534A">
        <w:t xml:space="preserve"> and</w:t>
      </w:r>
      <w:r w:rsidRPr="00FC35C5">
        <w:t xml:space="preserve"> security of network and information systems are crucial for creating the Digital Single Market for financial services.</w:t>
      </w:r>
    </w:p>
    <w:p w:rsidRPr="00FC35C5" w:rsidR="00D94CAF" w:rsidP="00D94CAF" w:rsidRDefault="00D94CAF"/>
    <w:p w:rsidRPr="00FC35C5" w:rsidR="00E23A48" w:rsidP="00E23A48" w:rsidRDefault="00D94CAF">
      <w:pPr>
        <w:pStyle w:val="Heading2"/>
      </w:pPr>
      <w:r w:rsidRPr="00FC35C5">
        <w:t xml:space="preserve">In the field of cybersecurity the EESC </w:t>
      </w:r>
      <w:r w:rsidRPr="00796EA0" w:rsidR="00E23A48">
        <w:rPr>
          <w:rFonts w:eastAsiaTheme="minorHAnsi"/>
          <w:bCs/>
          <w:iCs/>
        </w:rPr>
        <w:t>welcomes the</w:t>
      </w:r>
      <w:r w:rsidR="00E23A48">
        <w:rPr>
          <w:rFonts w:eastAsiaTheme="minorHAnsi"/>
          <w:bCs/>
          <w:iCs/>
        </w:rPr>
        <w:t xml:space="preserve"> </w:t>
      </w:r>
      <w:r w:rsidRPr="00134EE5" w:rsidR="00E23A48">
        <w:rPr>
          <w:rFonts w:eastAsiaTheme="minorHAnsi"/>
          <w:bCs/>
          <w:iCs/>
        </w:rPr>
        <w:t>GAIA-X</w:t>
      </w:r>
      <w:r w:rsidRPr="00796EA0" w:rsidR="00E23A48">
        <w:rPr>
          <w:rFonts w:eastAsiaTheme="minorHAnsi"/>
          <w:bCs/>
          <w:iCs/>
        </w:rPr>
        <w:t xml:space="preserve"> project, which </w:t>
      </w:r>
      <w:r w:rsidR="00E23A48">
        <w:rPr>
          <w:rFonts w:eastAsiaTheme="minorHAnsi"/>
          <w:bCs/>
          <w:iCs/>
        </w:rPr>
        <w:t>is intended</w:t>
      </w:r>
      <w:r w:rsidRPr="00796EA0" w:rsidR="00E23A48">
        <w:rPr>
          <w:rFonts w:eastAsiaTheme="minorHAnsi"/>
          <w:bCs/>
          <w:iCs/>
        </w:rPr>
        <w:t xml:space="preserve"> to challenge the US and Chin</w:t>
      </w:r>
      <w:r w:rsidR="00E23A48">
        <w:rPr>
          <w:rFonts w:eastAsiaTheme="minorHAnsi"/>
          <w:bCs/>
          <w:iCs/>
        </w:rPr>
        <w:t xml:space="preserve">a's </w:t>
      </w:r>
      <w:r w:rsidRPr="00134EE5" w:rsidR="00E23A48">
        <w:rPr>
          <w:rFonts w:eastAsiaTheme="minorHAnsi"/>
          <w:bCs/>
          <w:iCs/>
        </w:rPr>
        <w:t>dominance</w:t>
      </w:r>
      <w:r w:rsidRPr="007275EF" w:rsidDel="00230111" w:rsidR="00E23A48">
        <w:rPr>
          <w:rFonts w:eastAsiaTheme="minorHAnsi"/>
          <w:bCs/>
          <w:iCs/>
        </w:rPr>
        <w:t xml:space="preserve"> </w:t>
      </w:r>
      <w:r w:rsidR="00E23A48">
        <w:rPr>
          <w:rFonts w:eastAsiaTheme="minorHAnsi"/>
          <w:bCs/>
          <w:iCs/>
        </w:rPr>
        <w:t>in</w:t>
      </w:r>
      <w:r w:rsidRPr="00796EA0" w:rsidR="00E23A48">
        <w:rPr>
          <w:rFonts w:eastAsiaTheme="minorHAnsi"/>
          <w:bCs/>
          <w:iCs/>
        </w:rPr>
        <w:t xml:space="preserve"> cloud services. This project, which also involves the European Commission, aims to achieve EU data sovereignty or data governance through an EU</w:t>
      </w:r>
      <w:r w:rsidR="00395BA8">
        <w:rPr>
          <w:rFonts w:eastAsiaTheme="minorHAnsi"/>
          <w:bCs/>
          <w:iCs/>
        </w:rPr>
        <w:noBreakHyphen/>
      </w:r>
      <w:r w:rsidRPr="00796EA0" w:rsidR="00E23A48">
        <w:rPr>
          <w:rFonts w:eastAsiaTheme="minorHAnsi"/>
          <w:bCs/>
          <w:iCs/>
        </w:rPr>
        <w:t>based cloud network.</w:t>
      </w:r>
    </w:p>
    <w:p w:rsidRPr="00FC35C5" w:rsidR="00D94CAF" w:rsidP="00D94CAF" w:rsidRDefault="00D94CAF"/>
    <w:p w:rsidRPr="00FC35C5" w:rsidR="00D94CAF" w:rsidP="00D94CAF" w:rsidRDefault="00D94CAF">
      <w:pPr>
        <w:pStyle w:val="Heading2"/>
      </w:pPr>
      <w:r w:rsidRPr="00FC35C5">
        <w:t>The Commission</w:t>
      </w:r>
      <w:r w:rsidR="008101D3">
        <w:t>'</w:t>
      </w:r>
      <w:r w:rsidRPr="00FC35C5">
        <w:t xml:space="preserve">s commitment to the </w:t>
      </w:r>
      <w:r w:rsidR="008101D3">
        <w:t>"</w:t>
      </w:r>
      <w:r w:rsidRPr="00FC35C5">
        <w:t>same activity, same risk, same rules</w:t>
      </w:r>
      <w:r w:rsidR="008101D3">
        <w:t>"</w:t>
      </w:r>
      <w:r w:rsidRPr="00FC35C5">
        <w:t xml:space="preserve"> principle is fundamental and a key to solv</w:t>
      </w:r>
      <w:r w:rsidR="008101D3">
        <w:t>ing</w:t>
      </w:r>
      <w:r w:rsidRPr="00FC35C5">
        <w:t xml:space="preserve"> the new challenges, </w:t>
      </w:r>
      <w:r w:rsidRPr="005A66B6">
        <w:t xml:space="preserve">including </w:t>
      </w:r>
      <w:r w:rsidR="001B534A">
        <w:t xml:space="preserve">ensuring the same </w:t>
      </w:r>
      <w:r w:rsidRPr="005A66B6">
        <w:t xml:space="preserve">supervision. The </w:t>
      </w:r>
      <w:r w:rsidRPr="00FC35C5">
        <w:t>EESC considers that creating a level playing field for all financial institutions is of particular importance.</w:t>
      </w:r>
    </w:p>
    <w:p w:rsidRPr="00FC35C5" w:rsidR="00546895" w:rsidP="0015678B" w:rsidRDefault="00546895"/>
    <w:p w:rsidRPr="00FC35C5" w:rsidR="00957781" w:rsidP="00690D84" w:rsidRDefault="00957781">
      <w:pPr>
        <w:pStyle w:val="Heading1"/>
        <w:keepNext/>
        <w:rPr>
          <w:b/>
        </w:rPr>
      </w:pPr>
      <w:r w:rsidRPr="00FC35C5">
        <w:rPr>
          <w:b/>
        </w:rPr>
        <w:t>The Commission proposals</w:t>
      </w:r>
    </w:p>
    <w:p w:rsidRPr="00FC35C5" w:rsidR="00957781" w:rsidRDefault="00957781">
      <w:pPr>
        <w:keepNext/>
      </w:pPr>
    </w:p>
    <w:p w:rsidRPr="00FC35C5" w:rsidR="001F1831" w:rsidP="00957781" w:rsidRDefault="001F1831">
      <w:pPr>
        <w:pStyle w:val="Heading2"/>
      </w:pPr>
      <w:r w:rsidRPr="00FC35C5">
        <w:t>On 24 September 2020</w:t>
      </w:r>
      <w:r w:rsidRPr="00FC35C5" w:rsidR="00417E15">
        <w:t>,</w:t>
      </w:r>
      <w:r w:rsidRPr="00FC35C5">
        <w:t xml:space="preserve"> the Commission endorsed the Digital Finance Package</w:t>
      </w:r>
      <w:r w:rsidRPr="00FC35C5" w:rsidR="00417E15">
        <w:t>, which</w:t>
      </w:r>
      <w:r w:rsidRPr="00FC35C5">
        <w:t xml:space="preserve"> consists of a Digital Finance Strategy</w:t>
      </w:r>
      <w:r w:rsidRPr="00FC35C5" w:rsidR="00A41F84">
        <w:rPr>
          <w:rStyle w:val="FootnoteReference"/>
        </w:rPr>
        <w:footnoteReference w:id="1"/>
      </w:r>
      <w:r w:rsidRPr="00FC35C5">
        <w:t>, a Retail Payments Strategy</w:t>
      </w:r>
      <w:r w:rsidRPr="00FC35C5" w:rsidR="00A41F84">
        <w:rPr>
          <w:rStyle w:val="FootnoteReference"/>
        </w:rPr>
        <w:footnoteReference w:id="2"/>
      </w:r>
      <w:r w:rsidRPr="00FC35C5">
        <w:t>, legislative proposals for an EU regulatory framework on crypto-assets</w:t>
      </w:r>
      <w:r w:rsidRPr="00FC35C5" w:rsidR="00A41F84">
        <w:rPr>
          <w:rStyle w:val="FootnoteReference"/>
        </w:rPr>
        <w:footnoteReference w:id="3"/>
      </w:r>
      <w:r w:rsidRPr="00FC35C5" w:rsidR="005B5FEF">
        <w:t xml:space="preserve"> and its underlying </w:t>
      </w:r>
      <w:r w:rsidRPr="00FC35C5" w:rsidR="00E40F34">
        <w:t>d</w:t>
      </w:r>
      <w:r w:rsidRPr="00FC35C5" w:rsidR="005B5FEF">
        <w:t>istributed ledger technology</w:t>
      </w:r>
      <w:r w:rsidRPr="00FC35C5" w:rsidR="005B5FEF">
        <w:rPr>
          <w:rStyle w:val="FootnoteReference"/>
        </w:rPr>
        <w:footnoteReference w:id="4"/>
      </w:r>
      <w:r w:rsidRPr="00FC35C5">
        <w:t xml:space="preserve">, </w:t>
      </w:r>
      <w:r w:rsidRPr="00FC35C5" w:rsidR="00E40F34">
        <w:t xml:space="preserve">as well as </w:t>
      </w:r>
      <w:r w:rsidRPr="00FC35C5">
        <w:t>proposals for an EU regulatory framework on digital operational resilience</w:t>
      </w:r>
      <w:r w:rsidRPr="00FC35C5" w:rsidR="00A41F84">
        <w:rPr>
          <w:rStyle w:val="FootnoteReference"/>
        </w:rPr>
        <w:footnoteReference w:id="5"/>
      </w:r>
      <w:r w:rsidRPr="00FC35C5">
        <w:t xml:space="preserve">. </w:t>
      </w:r>
    </w:p>
    <w:p w:rsidRPr="00FC35C5" w:rsidR="001F1831" w:rsidP="001F1831" w:rsidRDefault="001F1831"/>
    <w:p w:rsidRPr="00FC35C5" w:rsidR="000B69F9" w:rsidP="000B69F9" w:rsidRDefault="00957781">
      <w:pPr>
        <w:pStyle w:val="Heading2"/>
      </w:pPr>
      <w:r w:rsidRPr="00FC35C5">
        <w:t>In the particularly dynamic context of digital innovation,</w:t>
      </w:r>
      <w:r w:rsidRPr="00FC35C5" w:rsidR="00546895">
        <w:t xml:space="preserve"> accelerated by </w:t>
      </w:r>
      <w:r w:rsidRPr="00FC35C5" w:rsidR="00425F69">
        <w:t xml:space="preserve">the </w:t>
      </w:r>
      <w:r w:rsidRPr="00FC35C5" w:rsidR="00546895">
        <w:t>COVID</w:t>
      </w:r>
      <w:r w:rsidRPr="00FC35C5" w:rsidR="00E40F34">
        <w:t>-</w:t>
      </w:r>
      <w:r w:rsidRPr="00FC35C5" w:rsidR="00546895">
        <w:t>19 crisis,</w:t>
      </w:r>
      <w:r w:rsidRPr="00FC35C5">
        <w:t xml:space="preserve"> the Commission </w:t>
      </w:r>
      <w:r w:rsidRPr="00FC35C5" w:rsidR="00A94003">
        <w:t xml:space="preserve">is proposing </w:t>
      </w:r>
      <w:r w:rsidRPr="00FC35C5">
        <w:t xml:space="preserve">a </w:t>
      </w:r>
      <w:r w:rsidRPr="00FC35C5" w:rsidR="00A94003">
        <w:t>s</w:t>
      </w:r>
      <w:r w:rsidRPr="00FC35C5">
        <w:t xml:space="preserve">trategy with </w:t>
      </w:r>
      <w:r w:rsidRPr="00FC35C5" w:rsidR="000B69F9">
        <w:t xml:space="preserve">one strategic goal and </w:t>
      </w:r>
      <w:r w:rsidRPr="00FC35C5" w:rsidR="00BC4D8C">
        <w:t>four</w:t>
      </w:r>
      <w:r w:rsidRPr="00FC35C5">
        <w:t xml:space="preserve"> priorities and related actions on digital finance.</w:t>
      </w:r>
      <w:r w:rsidRPr="00FC35C5" w:rsidR="008938B5">
        <w:t xml:space="preserve"> This </w:t>
      </w:r>
      <w:r w:rsidRPr="00FC35C5" w:rsidR="00A94003">
        <w:t>s</w:t>
      </w:r>
      <w:r w:rsidRPr="00FC35C5" w:rsidR="008938B5">
        <w:t xml:space="preserve">trategy </w:t>
      </w:r>
      <w:r w:rsidRPr="00FC35C5" w:rsidR="00A94003">
        <w:t>is the subject of this</w:t>
      </w:r>
      <w:r w:rsidRPr="00FC35C5" w:rsidR="001F1831">
        <w:t xml:space="preserve"> </w:t>
      </w:r>
      <w:r w:rsidRPr="00FC35C5" w:rsidR="00A94003">
        <w:t xml:space="preserve">EESC </w:t>
      </w:r>
      <w:r w:rsidRPr="00FC35C5" w:rsidR="001F1831">
        <w:t>opinion.</w:t>
      </w:r>
    </w:p>
    <w:p w:rsidRPr="00FC35C5" w:rsidR="000B69F9" w:rsidP="000B69F9" w:rsidRDefault="000B69F9">
      <w:pPr>
        <w:pStyle w:val="Heading2"/>
        <w:numPr>
          <w:ilvl w:val="0"/>
          <w:numId w:val="0"/>
        </w:numPr>
        <w:ind w:left="567"/>
      </w:pPr>
    </w:p>
    <w:p w:rsidRPr="00FC35C5" w:rsidR="00A41F84" w:rsidP="00E03B17" w:rsidRDefault="000B69F9">
      <w:pPr>
        <w:pStyle w:val="Heading2"/>
      </w:pPr>
      <w:r w:rsidRPr="00FC35C5">
        <w:t>The strategic objective</w:t>
      </w:r>
      <w:r w:rsidRPr="00FC35C5" w:rsidR="00F02ED0">
        <w:t xml:space="preserve"> </w:t>
      </w:r>
      <w:r w:rsidRPr="00FC35C5">
        <w:t xml:space="preserve">set out by </w:t>
      </w:r>
      <w:r w:rsidRPr="00FC35C5" w:rsidR="00BC4D8C">
        <w:t xml:space="preserve">the </w:t>
      </w:r>
      <w:r w:rsidRPr="00FC35C5">
        <w:t xml:space="preserve">Commission is to adopt digital finance for the benefit of consumers and businesses. The four priorities are: </w:t>
      </w:r>
      <w:r w:rsidRPr="00FC35C5" w:rsidR="00E03B17">
        <w:t xml:space="preserve">(1) </w:t>
      </w:r>
      <w:r w:rsidRPr="00FC35C5" w:rsidR="00B33BDC">
        <w:t>to tackle fragmentation in the Digital Single Market for financial services, thereby enabling European consumers to access cross-border services and help European financial firms scale up their digital operations</w:t>
      </w:r>
      <w:r w:rsidRPr="00FC35C5">
        <w:t xml:space="preserve">, </w:t>
      </w:r>
      <w:r w:rsidRPr="00FC35C5" w:rsidR="00E03B17">
        <w:t xml:space="preserve">(2) </w:t>
      </w:r>
      <w:r w:rsidRPr="00FC35C5" w:rsidR="0075429F">
        <w:t>to ensure that the EU regulatory framework facilitates digital innovation in the interest of consumers and market efficiency</w:t>
      </w:r>
      <w:r w:rsidRPr="00FC35C5" w:rsidR="00F02ED0">
        <w:t xml:space="preserve">, </w:t>
      </w:r>
      <w:r w:rsidRPr="00FC35C5" w:rsidR="00E03B17">
        <w:t xml:space="preserve">(3) </w:t>
      </w:r>
      <w:r w:rsidRPr="00FC35C5" w:rsidR="00BD5408">
        <w:t xml:space="preserve">to create a European financial data space to promote data-driven innovation, building on the European </w:t>
      </w:r>
      <w:r w:rsidRPr="00FC35C5" w:rsidR="005E423D">
        <w:t>Data Strategy</w:t>
      </w:r>
      <w:r w:rsidRPr="00FC35C5" w:rsidR="00BD5408">
        <w:t>, including enhanced access to data and data-sharing within the financial sector</w:t>
      </w:r>
      <w:r w:rsidRPr="00FC35C5" w:rsidR="00E03B17">
        <w:t xml:space="preserve"> and (4) </w:t>
      </w:r>
      <w:r w:rsidRPr="00FC35C5" w:rsidR="00BD5408">
        <w:t>to address new challenges and risks associated with the digital transformation</w:t>
      </w:r>
      <w:r w:rsidRPr="00FC35C5" w:rsidR="00E03B17">
        <w:t>.</w:t>
      </w:r>
    </w:p>
    <w:p w:rsidRPr="00FC35C5" w:rsidR="00957781" w:rsidP="00957781" w:rsidRDefault="00957781"/>
    <w:p w:rsidRPr="00FC35C5" w:rsidR="00011D33" w:rsidP="0021347D" w:rsidRDefault="00011D33">
      <w:pPr>
        <w:pStyle w:val="Heading1"/>
        <w:keepNext/>
        <w:keepLines/>
        <w:rPr>
          <w:b/>
        </w:rPr>
      </w:pPr>
      <w:r w:rsidRPr="00FC35C5">
        <w:rPr>
          <w:b/>
        </w:rPr>
        <w:t xml:space="preserve">General </w:t>
      </w:r>
      <w:r w:rsidRPr="00FC35C5" w:rsidR="00E03B17">
        <w:rPr>
          <w:b/>
        </w:rPr>
        <w:t>and specific comments</w:t>
      </w:r>
    </w:p>
    <w:p w:rsidRPr="00FC35C5" w:rsidR="00957781" w:rsidP="0021347D" w:rsidRDefault="00957781">
      <w:pPr>
        <w:keepNext/>
        <w:keepLines/>
      </w:pPr>
    </w:p>
    <w:p w:rsidRPr="00FC35C5" w:rsidR="00957781" w:rsidP="00E03B17" w:rsidRDefault="00957781">
      <w:pPr>
        <w:pStyle w:val="Heading2"/>
      </w:pPr>
      <w:r w:rsidRPr="00FC35C5">
        <w:t>With the initiative to create and implement a new digital finance strategy in Europe (as a part of the Commission</w:t>
      </w:r>
      <w:r w:rsidRPr="00FC35C5" w:rsidR="000139D1">
        <w:t>'</w:t>
      </w:r>
      <w:r w:rsidRPr="00FC35C5">
        <w:t>s Digital Finance Package)</w:t>
      </w:r>
      <w:r w:rsidRPr="00FC35C5" w:rsidR="000139D1">
        <w:t>,</w:t>
      </w:r>
      <w:r w:rsidRPr="00FC35C5">
        <w:t xml:space="preserve"> the Commission confirms the great importance of digitali</w:t>
      </w:r>
      <w:r w:rsidRPr="00FC35C5" w:rsidR="000139D1">
        <w:t>s</w:t>
      </w:r>
      <w:r w:rsidRPr="00FC35C5">
        <w:t>ation in the financial sector (</w:t>
      </w:r>
      <w:r w:rsidRPr="00FC35C5" w:rsidR="00E03B17">
        <w:t>digital financial</w:t>
      </w:r>
      <w:r w:rsidRPr="00FC35C5">
        <w:t xml:space="preserve"> services). The importance </w:t>
      </w:r>
      <w:r w:rsidRPr="00FC35C5" w:rsidR="000139D1">
        <w:t xml:space="preserve">has </w:t>
      </w:r>
      <w:r w:rsidRPr="00FC35C5">
        <w:t xml:space="preserve">become particularly clear </w:t>
      </w:r>
      <w:r w:rsidRPr="00FC35C5" w:rsidR="00D033DB">
        <w:t xml:space="preserve">during </w:t>
      </w:r>
      <w:r w:rsidRPr="00FC35C5">
        <w:t xml:space="preserve">the </w:t>
      </w:r>
      <w:r w:rsidRPr="00FC35C5" w:rsidR="000139D1">
        <w:t>COVID</w:t>
      </w:r>
      <w:r w:rsidRPr="00FC35C5">
        <w:t>-19 crisis.</w:t>
      </w:r>
      <w:r w:rsidRPr="00FC35C5" w:rsidR="00546895">
        <w:t xml:space="preserve"> </w:t>
      </w:r>
      <w:r w:rsidRPr="00FC35C5" w:rsidR="00E03B17">
        <w:t>The four-priority program</w:t>
      </w:r>
      <w:r w:rsidRPr="00FC35C5" w:rsidR="00BC4D8C">
        <w:t>me</w:t>
      </w:r>
      <w:r w:rsidRPr="00FC35C5" w:rsidR="00E03B17">
        <w:t xml:space="preserve"> presented by the Commission essentially covers almost all important areas of activity in the digital transformation of the EU financial sector. </w:t>
      </w:r>
      <w:r w:rsidRPr="00FC35C5" w:rsidR="00546895">
        <w:t>The EESC support</w:t>
      </w:r>
      <w:r w:rsidR="00CC743D">
        <w:t>s</w:t>
      </w:r>
      <w:r w:rsidRPr="00FC35C5" w:rsidR="00546895">
        <w:t xml:space="preserve"> these approaches of the Commission.</w:t>
      </w:r>
    </w:p>
    <w:p w:rsidRPr="00FC35C5" w:rsidR="00957781" w:rsidP="00E03B17" w:rsidRDefault="00957781">
      <w:pPr>
        <w:pStyle w:val="Heading2"/>
        <w:numPr>
          <w:ilvl w:val="0"/>
          <w:numId w:val="0"/>
        </w:numPr>
      </w:pPr>
    </w:p>
    <w:p w:rsidRPr="00FC35C5" w:rsidR="00D94CAF" w:rsidP="00D94CAF" w:rsidRDefault="00957781">
      <w:pPr>
        <w:pStyle w:val="Heading2"/>
      </w:pPr>
      <w:r w:rsidRPr="00FC35C5">
        <w:t>The Commission is on the right track to rely on strong European market participants to implem</w:t>
      </w:r>
      <w:r w:rsidRPr="00FC35C5" w:rsidR="00546895">
        <w:t>ent digital financial services, but the EESC consider</w:t>
      </w:r>
      <w:r w:rsidRPr="00FC35C5" w:rsidR="000139D1">
        <w:t>s</w:t>
      </w:r>
      <w:r w:rsidRPr="00FC35C5" w:rsidR="00546895">
        <w:t xml:space="preserve"> that </w:t>
      </w:r>
      <w:r w:rsidRPr="00FC35C5">
        <w:t xml:space="preserve">the special role of </w:t>
      </w:r>
      <w:r w:rsidRPr="00FC35C5" w:rsidR="00514827">
        <w:t>specialised</w:t>
      </w:r>
      <w:r w:rsidRPr="00FC35C5" w:rsidR="00D94CAF">
        <w:t xml:space="preserve"> </w:t>
      </w:r>
      <w:r w:rsidRPr="00FC35C5">
        <w:t>regional or/and coop</w:t>
      </w:r>
      <w:r w:rsidRPr="00FC35C5" w:rsidR="00E03B17">
        <w:t xml:space="preserve">erative </w:t>
      </w:r>
      <w:r w:rsidRPr="00FC35C5" w:rsidR="00D94CAF">
        <w:t xml:space="preserve">or mutual </w:t>
      </w:r>
      <w:r w:rsidRPr="00FC35C5" w:rsidR="00E03B17">
        <w:t>providers in the f</w:t>
      </w:r>
      <w:r w:rsidRPr="00FC35C5">
        <w:t xml:space="preserve">inancial sector must be </w:t>
      </w:r>
      <w:r w:rsidR="00CC743D">
        <w:t>consider</w:t>
      </w:r>
      <w:r w:rsidRPr="00FC35C5">
        <w:t>ed</w:t>
      </w:r>
      <w:r w:rsidRPr="00FC35C5" w:rsidR="00D94CAF">
        <w:t>, as the diversity in the financial sector helps to meet</w:t>
      </w:r>
      <w:r w:rsidR="008101D3">
        <w:t xml:space="preserve"> the</w:t>
      </w:r>
      <w:r w:rsidRPr="00FC35C5" w:rsidR="00D94CAF">
        <w:t xml:space="preserve"> specific needs of consumers and SMEs and contributes to competitive markets. The EESC encourages the Commission to pursue proportionality in terms of the nature, scale and complexity of financial institutions and their products.</w:t>
      </w:r>
    </w:p>
    <w:p w:rsidRPr="00FC35C5" w:rsidR="00957781" w:rsidP="00957781" w:rsidRDefault="00957781">
      <w:pPr>
        <w:pStyle w:val="Heading2"/>
        <w:numPr>
          <w:ilvl w:val="0"/>
          <w:numId w:val="0"/>
        </w:numPr>
        <w:ind w:left="567"/>
      </w:pPr>
    </w:p>
    <w:p w:rsidRPr="00FC35C5" w:rsidR="0042223E" w:rsidP="0012584B" w:rsidRDefault="00957781">
      <w:pPr>
        <w:pStyle w:val="Heading2"/>
      </w:pPr>
      <w:r w:rsidRPr="00FC35C5">
        <w:t xml:space="preserve">The </w:t>
      </w:r>
      <w:r w:rsidRPr="00FC35C5" w:rsidR="000139D1">
        <w:t xml:space="preserve">Commission </w:t>
      </w:r>
      <w:r w:rsidRPr="00FC35C5">
        <w:t xml:space="preserve">Communication </w:t>
      </w:r>
      <w:r w:rsidRPr="00FC35C5" w:rsidR="00313B44">
        <w:t xml:space="preserve">is </w:t>
      </w:r>
      <w:r w:rsidRPr="00FC35C5" w:rsidR="000139D1">
        <w:t>e</w:t>
      </w:r>
      <w:r w:rsidRPr="00FC35C5" w:rsidR="0007468D">
        <w:t>xt</w:t>
      </w:r>
      <w:r w:rsidRPr="00FC35C5" w:rsidR="000139D1">
        <w:t xml:space="preserve">remely </w:t>
      </w:r>
      <w:r w:rsidRPr="00FC35C5" w:rsidR="00546895">
        <w:t>technical</w:t>
      </w:r>
      <w:r w:rsidRPr="00FC35C5" w:rsidR="000139D1">
        <w:t xml:space="preserve"> and there is one point that it fails to </w:t>
      </w:r>
      <w:r w:rsidRPr="00FC35C5">
        <w:t xml:space="preserve">address: </w:t>
      </w:r>
      <w:r w:rsidRPr="00FC35C5" w:rsidR="00817B8D">
        <w:t xml:space="preserve">Due to digitalisation, the </w:t>
      </w:r>
      <w:r w:rsidRPr="00FC35C5">
        <w:t>EU</w:t>
      </w:r>
      <w:r w:rsidRPr="00FC35C5" w:rsidR="00817B8D">
        <w:t>'s</w:t>
      </w:r>
      <w:r w:rsidRPr="00FC35C5">
        <w:t xml:space="preserve"> financial sector is facing a huge </w:t>
      </w:r>
      <w:r w:rsidRPr="00FC35C5" w:rsidR="00817B8D">
        <w:t xml:space="preserve">process of </w:t>
      </w:r>
      <w:r w:rsidRPr="00FC35C5">
        <w:t xml:space="preserve">transformation. This process goes hand in hand with far-reaching restructuring processes, </w:t>
      </w:r>
      <w:r w:rsidRPr="00FC35C5" w:rsidR="00BC4499">
        <w:t xml:space="preserve">the closure </w:t>
      </w:r>
      <w:r w:rsidRPr="00FC35C5">
        <w:t>of local branches, changes in the professional qualifications of employees and completely new forms of work. These ma</w:t>
      </w:r>
      <w:r w:rsidRPr="00FC35C5" w:rsidR="00BC4499">
        <w:t>j</w:t>
      </w:r>
      <w:r w:rsidRPr="00FC35C5">
        <w:t xml:space="preserve">or challenges must not be ignored. They represent a great challenge for providers and </w:t>
      </w:r>
      <w:r w:rsidR="001B534A">
        <w:t>–</w:t>
      </w:r>
      <w:r w:rsidRPr="00FC35C5">
        <w:t xml:space="preserve"> of course </w:t>
      </w:r>
      <w:r w:rsidR="001B534A">
        <w:t>–</w:t>
      </w:r>
      <w:r w:rsidRPr="00FC35C5" w:rsidR="001B534A">
        <w:t xml:space="preserve"> </w:t>
      </w:r>
      <w:r w:rsidRPr="00FC35C5">
        <w:t>for employees in the financial sector.</w:t>
      </w:r>
      <w:r w:rsidR="0012584B">
        <w:t xml:space="preserve"> The EESC</w:t>
      </w:r>
      <w:r w:rsidRPr="0012584B" w:rsidR="0012584B">
        <w:t xml:space="preserve"> </w:t>
      </w:r>
      <w:r w:rsidR="007D7C1D">
        <w:t>advocates</w:t>
      </w:r>
      <w:r w:rsidRPr="0012584B" w:rsidR="0012584B">
        <w:t xml:space="preserve"> social dialogue </w:t>
      </w:r>
      <w:r w:rsidR="0012584B">
        <w:t xml:space="preserve">to address </w:t>
      </w:r>
      <w:r w:rsidRPr="0012584B" w:rsidR="0012584B">
        <w:t xml:space="preserve">the fields </w:t>
      </w:r>
      <w:r w:rsidR="00882CFA">
        <w:t>where t</w:t>
      </w:r>
      <w:r w:rsidRPr="0012584B" w:rsidR="0012584B">
        <w:t xml:space="preserve">he transformation </w:t>
      </w:r>
      <w:r w:rsidR="00882CFA">
        <w:t xml:space="preserve">is </w:t>
      </w:r>
      <w:r w:rsidRPr="0012584B" w:rsidR="0012584B">
        <w:t>taking place</w:t>
      </w:r>
      <w:r w:rsidR="00882CFA">
        <w:t>.</w:t>
      </w:r>
    </w:p>
    <w:p w:rsidRPr="00FC35C5" w:rsidR="009A7434" w:rsidP="009A7434" w:rsidRDefault="009A7434"/>
    <w:p w:rsidRPr="00FC35C5" w:rsidR="0042223E" w:rsidP="0042223E" w:rsidRDefault="008D1CCD">
      <w:pPr>
        <w:pStyle w:val="Heading2"/>
      </w:pPr>
      <w:r w:rsidRPr="00FC35C5">
        <w:t xml:space="preserve">The Commission </w:t>
      </w:r>
      <w:r w:rsidRPr="00FC35C5" w:rsidR="00BC4499">
        <w:t>states</w:t>
      </w:r>
      <w:r w:rsidRPr="00FC35C5">
        <w:t xml:space="preserve"> that a well-functioning Single Market for digital financial services will help improve access to financial services for consumers and retail investors in the EU. </w:t>
      </w:r>
      <w:r w:rsidRPr="00FC35C5" w:rsidR="00546895">
        <w:t xml:space="preserve">The EESC </w:t>
      </w:r>
      <w:r w:rsidRPr="00FC35C5" w:rsidR="0042223E">
        <w:t>support</w:t>
      </w:r>
      <w:r w:rsidRPr="00FC35C5" w:rsidR="00D033DB">
        <w:t>s</w:t>
      </w:r>
      <w:r w:rsidRPr="00FC35C5" w:rsidR="0042223E">
        <w:t xml:space="preserve"> </w:t>
      </w:r>
      <w:r w:rsidRPr="00FC35C5" w:rsidR="00D033DB">
        <w:t xml:space="preserve">this </w:t>
      </w:r>
      <w:r w:rsidRPr="00FC35C5" w:rsidR="0042223E">
        <w:t>approach</w:t>
      </w:r>
      <w:r w:rsidRPr="00FC35C5" w:rsidR="00D033DB">
        <w:t xml:space="preserve"> by</w:t>
      </w:r>
      <w:r w:rsidRPr="00FC35C5" w:rsidR="0042223E">
        <w:t xml:space="preserve"> the Commission. To </w:t>
      </w:r>
      <w:r w:rsidRPr="00FC35C5" w:rsidR="00D94CAF">
        <w:t xml:space="preserve">reduce </w:t>
      </w:r>
      <w:r w:rsidRPr="00FC35C5" w:rsidR="0042223E">
        <w:t>the fragmentation in the Digital Sin</w:t>
      </w:r>
      <w:r w:rsidRPr="00FC35C5">
        <w:t>gle Market for financial services</w:t>
      </w:r>
      <w:r w:rsidRPr="00FC35C5" w:rsidR="0096616F">
        <w:t>,</w:t>
      </w:r>
      <w:r w:rsidRPr="00FC35C5" w:rsidR="0042223E">
        <w:t xml:space="preserve"> </w:t>
      </w:r>
      <w:r w:rsidRPr="00FC35C5" w:rsidR="00BC4D8C">
        <w:t xml:space="preserve">it </w:t>
      </w:r>
      <w:r w:rsidRPr="00FC35C5" w:rsidR="0042223E">
        <w:t>is essential to enable the markets to develop.</w:t>
      </w:r>
    </w:p>
    <w:p w:rsidRPr="00FC35C5" w:rsidR="0042223E" w:rsidP="0042223E" w:rsidRDefault="0042223E">
      <w:pPr>
        <w:pStyle w:val="Heading2"/>
        <w:numPr>
          <w:ilvl w:val="0"/>
          <w:numId w:val="0"/>
        </w:numPr>
        <w:ind w:left="567"/>
      </w:pPr>
    </w:p>
    <w:p w:rsidRPr="00FC35C5" w:rsidR="00E905FC" w:rsidP="00E905FC" w:rsidRDefault="00E905FC">
      <w:pPr>
        <w:pStyle w:val="Heading2"/>
      </w:pPr>
      <w:r w:rsidRPr="00FC35C5">
        <w:t xml:space="preserve">The Commission </w:t>
      </w:r>
      <w:r w:rsidRPr="00FC35C5" w:rsidR="00B45D42">
        <w:t xml:space="preserve">states </w:t>
      </w:r>
      <w:r w:rsidRPr="00FC35C5">
        <w:t>the need to explore set</w:t>
      </w:r>
      <w:r w:rsidRPr="00FC35C5" w:rsidR="00C542A8">
        <w:t>ting</w:t>
      </w:r>
      <w:r w:rsidRPr="00FC35C5" w:rsidR="00B45D42">
        <w:t xml:space="preserve"> </w:t>
      </w:r>
      <w:r w:rsidRPr="00FC35C5">
        <w:t>up an EU digital finance platform. The EESC agrees and recommends the inclusion of the social partners and civil society representatives</w:t>
      </w:r>
      <w:r w:rsidRPr="00FC35C5" w:rsidR="00B45D42">
        <w:t xml:space="preserve"> in this process</w:t>
      </w:r>
      <w:r w:rsidRPr="00FC35C5">
        <w:t>.</w:t>
      </w:r>
    </w:p>
    <w:p w:rsidRPr="00FC35C5" w:rsidR="00E905FC" w:rsidP="00E905FC" w:rsidRDefault="00E905FC"/>
    <w:p w:rsidRPr="00FC35C5" w:rsidR="0042223E" w:rsidP="0042223E" w:rsidRDefault="008D1CCD">
      <w:pPr>
        <w:pStyle w:val="Heading2"/>
      </w:pPr>
      <w:r w:rsidRPr="00FC35C5">
        <w:t>Practical experience shows that</w:t>
      </w:r>
      <w:r w:rsidRPr="00FC35C5" w:rsidR="0042223E">
        <w:t xml:space="preserve"> a Single Market for digital financial services will only work if new </w:t>
      </w:r>
      <w:r w:rsidRPr="00FC35C5" w:rsidR="00AB0876">
        <w:t xml:space="preserve">customers </w:t>
      </w:r>
      <w:r w:rsidRPr="00FC35C5" w:rsidR="0042223E">
        <w:t>are able to access financia</w:t>
      </w:r>
      <w:r w:rsidRPr="00FC35C5" w:rsidR="00BC4D8C">
        <w:t>l services quickly and easily (</w:t>
      </w:r>
      <w:r w:rsidRPr="00FC35C5" w:rsidR="007709B8">
        <w:t xml:space="preserve">the </w:t>
      </w:r>
      <w:r w:rsidRPr="00FC35C5" w:rsidR="0042223E">
        <w:t>so</w:t>
      </w:r>
      <w:r w:rsidRPr="00FC35C5" w:rsidR="00BE1A02">
        <w:t>-</w:t>
      </w:r>
      <w:r w:rsidRPr="00FC35C5" w:rsidR="0042223E">
        <w:t xml:space="preserve">called </w:t>
      </w:r>
      <w:r w:rsidR="001B534A">
        <w:t>"</w:t>
      </w:r>
      <w:r w:rsidRPr="00FC35C5" w:rsidR="0042223E">
        <w:t>on</w:t>
      </w:r>
      <w:r w:rsidR="00E97E0E">
        <w:noBreakHyphen/>
      </w:r>
      <w:r w:rsidRPr="00FC35C5" w:rsidR="0042223E">
        <w:t>boarding</w:t>
      </w:r>
      <w:r w:rsidR="001B534A">
        <w:t>"</w:t>
      </w:r>
      <w:r w:rsidRPr="00FC35C5" w:rsidR="0042223E">
        <w:t xml:space="preserve">). The </w:t>
      </w:r>
      <w:r w:rsidRPr="00FC35C5" w:rsidR="0037406E">
        <w:t xml:space="preserve">EESC </w:t>
      </w:r>
      <w:r w:rsidRPr="00FC35C5">
        <w:t xml:space="preserve">notes the crucial problem in </w:t>
      </w:r>
      <w:r w:rsidR="001B534A">
        <w:t>the</w:t>
      </w:r>
      <w:r w:rsidRPr="00FC35C5" w:rsidR="001B534A">
        <w:t xml:space="preserve"> </w:t>
      </w:r>
      <w:r w:rsidRPr="00FC35C5">
        <w:t>area</w:t>
      </w:r>
      <w:r w:rsidRPr="00FC35C5" w:rsidR="00D94CAF">
        <w:t>s</w:t>
      </w:r>
      <w:r w:rsidRPr="00FC35C5">
        <w:t xml:space="preserve"> </w:t>
      </w:r>
      <w:r w:rsidRPr="00FC35C5" w:rsidR="0037406E">
        <w:t>emphasi</w:t>
      </w:r>
      <w:r w:rsidRPr="00FC35C5" w:rsidR="00BE1A02">
        <w:t>s</w:t>
      </w:r>
      <w:r w:rsidRPr="00FC35C5" w:rsidR="0037406E">
        <w:t>ed</w:t>
      </w:r>
      <w:r w:rsidRPr="00FC35C5">
        <w:t xml:space="preserve"> by </w:t>
      </w:r>
      <w:r w:rsidRPr="00FC35C5" w:rsidR="00BE1A02">
        <w:t xml:space="preserve">the </w:t>
      </w:r>
      <w:r w:rsidRPr="00FC35C5" w:rsidR="0042223E">
        <w:t>Commission.</w:t>
      </w:r>
    </w:p>
    <w:p w:rsidRPr="00FC35C5" w:rsidR="0042223E" w:rsidP="0042223E" w:rsidRDefault="0042223E">
      <w:pPr>
        <w:pStyle w:val="Heading2"/>
        <w:numPr>
          <w:ilvl w:val="0"/>
          <w:numId w:val="0"/>
        </w:numPr>
        <w:ind w:left="567"/>
      </w:pPr>
    </w:p>
    <w:p w:rsidR="00407C5A" w:rsidP="00407C5A" w:rsidRDefault="0042223E">
      <w:pPr>
        <w:pStyle w:val="Heading2"/>
      </w:pPr>
      <w:r w:rsidRPr="00FC35C5">
        <w:t>The fragmentation of money-laundering</w:t>
      </w:r>
      <w:r w:rsidRPr="00FC35C5" w:rsidR="00BE1A02">
        <w:t xml:space="preserve"> </w:t>
      </w:r>
      <w:r w:rsidRPr="00FC35C5">
        <w:t xml:space="preserve">rules between the </w:t>
      </w:r>
      <w:r w:rsidRPr="00FC35C5" w:rsidR="00BE1A02">
        <w:t>Member States</w:t>
      </w:r>
      <w:r w:rsidRPr="00FC35C5">
        <w:t xml:space="preserve"> makes the cross-border use of digital identities considerably more difficult</w:t>
      </w:r>
      <w:r w:rsidRPr="00FC35C5" w:rsidR="00BE1A02">
        <w:t>,</w:t>
      </w:r>
      <w:r w:rsidRPr="00FC35C5">
        <w:t xml:space="preserve"> if not impossible. The rules </w:t>
      </w:r>
      <w:r w:rsidRPr="00FC35C5" w:rsidR="007709B8">
        <w:t xml:space="preserve">on </w:t>
      </w:r>
      <w:r w:rsidRPr="00FC35C5">
        <w:t>customer identification should be harmoni</w:t>
      </w:r>
      <w:r w:rsidRPr="00FC35C5" w:rsidR="00BE1A02">
        <w:t>s</w:t>
      </w:r>
      <w:r w:rsidRPr="00FC35C5">
        <w:t xml:space="preserve">ed across the EU. </w:t>
      </w:r>
      <w:r w:rsidRPr="00FC35C5" w:rsidR="00B72E62">
        <w:t>T</w:t>
      </w:r>
      <w:r w:rsidRPr="00FC35C5" w:rsidR="00641FCC">
        <w:t xml:space="preserve">he EESC </w:t>
      </w:r>
      <w:r w:rsidRPr="00FC35C5" w:rsidR="00B72E62">
        <w:t xml:space="preserve">therefore </w:t>
      </w:r>
      <w:r w:rsidRPr="00FC35C5" w:rsidR="00641FCC">
        <w:t>recommend</w:t>
      </w:r>
      <w:r w:rsidRPr="00FC35C5" w:rsidR="00BC4D8C">
        <w:t>s</w:t>
      </w:r>
      <w:r w:rsidRPr="00FC35C5" w:rsidR="00641FCC">
        <w:t xml:space="preserve"> </w:t>
      </w:r>
      <w:r w:rsidRPr="00FC35C5" w:rsidR="007709B8">
        <w:t>ensuring the</w:t>
      </w:r>
      <w:r w:rsidRPr="00FC35C5">
        <w:t xml:space="preserve"> Europe-wide legal interope</w:t>
      </w:r>
      <w:r w:rsidRPr="00FC35C5" w:rsidR="00641FCC">
        <w:t>rability of digital identities</w:t>
      </w:r>
      <w:r w:rsidRPr="00FC35C5">
        <w:t>.</w:t>
      </w:r>
    </w:p>
    <w:p w:rsidRPr="00407C5A" w:rsidR="00407C5A" w:rsidP="00407C5A" w:rsidRDefault="00407C5A"/>
    <w:p w:rsidR="00CC743D" w:rsidP="00796EA0" w:rsidRDefault="00CC743D">
      <w:pPr>
        <w:pStyle w:val="Heading2"/>
      </w:pPr>
      <w:r w:rsidRPr="00796EA0">
        <w:t>When creating the Digital Financ</w:t>
      </w:r>
      <w:r w:rsidR="001E2C62">
        <w:t>e</w:t>
      </w:r>
      <w:r w:rsidRPr="00796EA0">
        <w:t xml:space="preserve"> Strategy for the EU, the issue of citizens</w:t>
      </w:r>
      <w:r w:rsidR="009B5812">
        <w:t>'</w:t>
      </w:r>
      <w:r w:rsidRPr="00796EA0">
        <w:t xml:space="preserve"> safety can</w:t>
      </w:r>
      <w:r w:rsidR="009B5812">
        <w:t>not</w:t>
      </w:r>
      <w:r w:rsidRPr="00796EA0">
        <w:t xml:space="preserve"> be forgotten. The recommendation to Member States to introduce, in parallel with the implementation of the </w:t>
      </w:r>
      <w:r w:rsidR="001E2C62">
        <w:t>s</w:t>
      </w:r>
      <w:r w:rsidRPr="00796EA0">
        <w:t>trategy, legal and organi</w:t>
      </w:r>
      <w:r w:rsidR="009B5812">
        <w:t>s</w:t>
      </w:r>
      <w:r w:rsidRPr="00796EA0">
        <w:t xml:space="preserve">ational measures to counteract the phenomenon of identity theft should be included in the </w:t>
      </w:r>
      <w:r w:rsidR="001E2C62">
        <w:t>s</w:t>
      </w:r>
      <w:r w:rsidRPr="00796EA0">
        <w:t xml:space="preserve">trategy. This problem is becoming more and more common with the development of digital services and products and if no action is taken, it may be a factor that inhibits implementation of the </w:t>
      </w:r>
      <w:r w:rsidR="001E2C62">
        <w:t>s</w:t>
      </w:r>
      <w:r w:rsidRPr="00796EA0">
        <w:t>trategy.</w:t>
      </w:r>
    </w:p>
    <w:p w:rsidRPr="00FC35C5" w:rsidR="001F2261" w:rsidP="001F2261" w:rsidRDefault="001F2261">
      <w:pPr>
        <w:pStyle w:val="Heading2"/>
        <w:numPr>
          <w:ilvl w:val="0"/>
          <w:numId w:val="0"/>
        </w:numPr>
        <w:ind w:left="567"/>
      </w:pPr>
    </w:p>
    <w:p w:rsidRPr="00FC35C5" w:rsidR="001F2261" w:rsidP="00D94CAF" w:rsidRDefault="008D1CCD">
      <w:pPr>
        <w:pStyle w:val="Heading2"/>
      </w:pPr>
      <w:r w:rsidRPr="00FC35C5">
        <w:t xml:space="preserve">The EESC </w:t>
      </w:r>
      <w:r w:rsidRPr="00FC35C5" w:rsidR="001F2261">
        <w:t>support</w:t>
      </w:r>
      <w:r w:rsidRPr="00FC35C5" w:rsidR="00BC4D8C">
        <w:t>s</w:t>
      </w:r>
      <w:r w:rsidRPr="00FC35C5" w:rsidR="001F2261">
        <w:t xml:space="preserve"> the </w:t>
      </w:r>
      <w:r w:rsidRPr="00FC35C5" w:rsidR="00B72E62">
        <w:t xml:space="preserve">proposals </w:t>
      </w:r>
      <w:r w:rsidRPr="00FC35C5" w:rsidR="001F2261">
        <w:t>of the Commission to create an innovation-friendly and competitive framework for financial markets</w:t>
      </w:r>
      <w:r w:rsidRPr="00FC35C5" w:rsidR="005315EE">
        <w:t>,</w:t>
      </w:r>
      <w:r w:rsidRPr="00FC35C5" w:rsidR="001F2261">
        <w:t xml:space="preserve"> from which consumers an</w:t>
      </w:r>
      <w:r w:rsidRPr="00FC35C5" w:rsidR="00B72E62">
        <w:t>d</w:t>
      </w:r>
      <w:r w:rsidRPr="00FC35C5" w:rsidR="001F2261">
        <w:t xml:space="preserve"> industry will benefit.</w:t>
      </w:r>
      <w:r w:rsidRPr="00FC35C5">
        <w:t xml:space="preserve"> </w:t>
      </w:r>
      <w:r w:rsidRPr="00FC35C5" w:rsidR="001F2261">
        <w:t>In doing so, however, it must be ensured that supervisory practices and EU legislation continue to be based on the guiding principle of technology neutrality</w:t>
      </w:r>
      <w:r w:rsidRPr="00FC35C5" w:rsidR="00D94CAF">
        <w:t xml:space="preserve"> and reviews existing paper requirements</w:t>
      </w:r>
      <w:r w:rsidRPr="00FC35C5" w:rsidR="001F2261">
        <w:t>.</w:t>
      </w:r>
    </w:p>
    <w:p w:rsidRPr="00FC35C5" w:rsidR="00D63BD8" w:rsidP="00D63BD8" w:rsidRDefault="00D63BD8"/>
    <w:p w:rsidRPr="00FC35C5" w:rsidR="00D94CAF" w:rsidP="00D94CAF" w:rsidRDefault="005315EE">
      <w:pPr>
        <w:pStyle w:val="Heading2"/>
      </w:pPr>
      <w:r w:rsidRPr="00FC35C5">
        <w:t>I</w:t>
      </w:r>
      <w:r w:rsidRPr="00FC35C5" w:rsidR="00D63BD8">
        <w:t xml:space="preserve">n the digital market, </w:t>
      </w:r>
      <w:r w:rsidRPr="00FC35C5">
        <w:t xml:space="preserve">however, </w:t>
      </w:r>
      <w:r w:rsidRPr="00FC35C5" w:rsidR="00D63BD8">
        <w:t xml:space="preserve">some FinTech companies offer services to financial companies, </w:t>
      </w:r>
      <w:r w:rsidRPr="00FC35C5" w:rsidR="00B72E62">
        <w:t xml:space="preserve">while </w:t>
      </w:r>
      <w:r w:rsidRPr="00FC35C5" w:rsidR="00D63BD8">
        <w:t xml:space="preserve">others compete with them. The EESC considers that the Commission should take these issues into account when drafting new regulations. The EESC therefore recommends that the new regulations be geared towards supporting partnerships between </w:t>
      </w:r>
      <w:r w:rsidRPr="00FC35C5" w:rsidR="00D94CAF">
        <w:t>incumbent financial institutions</w:t>
      </w:r>
      <w:r w:rsidRPr="00FC35C5" w:rsidDel="00D94CAF" w:rsidR="00D94CAF">
        <w:t xml:space="preserve"> </w:t>
      </w:r>
      <w:r w:rsidRPr="00FC35C5" w:rsidR="00D63BD8">
        <w:t>and the FinTech sector.</w:t>
      </w:r>
      <w:r w:rsidRPr="00FC35C5" w:rsidR="00D94CAF">
        <w:t xml:space="preserve"> While it is evident that banks are the most significant </w:t>
      </w:r>
      <w:r w:rsidRPr="00FC35C5" w:rsidR="00514827">
        <w:t>institutions</w:t>
      </w:r>
      <w:r w:rsidRPr="00FC35C5" w:rsidR="00D94CAF">
        <w:t>, legislation should avoid simple copy-paste requirements that may not fit all kinds of financial services. It should differentiate between consumer-oriented products that can be seen as commodit</w:t>
      </w:r>
      <w:r w:rsidR="001E4EBC">
        <w:t>ies</w:t>
      </w:r>
      <w:r w:rsidRPr="00FC35C5" w:rsidR="00D94CAF">
        <w:t xml:space="preserve"> and more complex products where the scope and the after-sales services are of significant importance. </w:t>
      </w:r>
    </w:p>
    <w:p w:rsidRPr="00FC35C5" w:rsidR="003A70A1" w:rsidP="005A66B6" w:rsidRDefault="003A70A1"/>
    <w:p w:rsidRPr="00FC35C5" w:rsidR="00D94CAF" w:rsidP="00D94CAF" w:rsidRDefault="00D94CAF">
      <w:pPr>
        <w:pStyle w:val="Heading2"/>
      </w:pPr>
      <w:r w:rsidRPr="00FC35C5">
        <w:t>The EESC considers that there is a need to expand data sharing beyond the financial sector and reminds the Commission of the EESC</w:t>
      </w:r>
      <w:r w:rsidR="005450E2">
        <w:t>'s</w:t>
      </w:r>
      <w:r w:rsidRPr="00FC35C5">
        <w:t xml:space="preserve"> recommendation</w:t>
      </w:r>
      <w:r w:rsidRPr="00FC35C5">
        <w:rPr>
          <w:rStyle w:val="FootnoteReference"/>
        </w:rPr>
        <w:footnoteReference w:id="6"/>
      </w:r>
      <w:r w:rsidRPr="00FC35C5">
        <w:t xml:space="preserve"> </w:t>
      </w:r>
      <w:r w:rsidR="005450E2">
        <w:t>regarding</w:t>
      </w:r>
      <w:r w:rsidRPr="00FC35C5">
        <w:t xml:space="preserve"> the Commission</w:t>
      </w:r>
      <w:r w:rsidR="005450E2">
        <w:t>'</w:t>
      </w:r>
      <w:r w:rsidRPr="00FC35C5">
        <w:t>s Communication on a European strategy for data where the EESC welcomed the Commission's proposal for a Data Strategy that sets cross-sectoral data sharing as a priority and to improve the use, sharing, access and governance of data with legislative, sector-specific action and emphasi</w:t>
      </w:r>
      <w:r w:rsidR="005450E2">
        <w:t>s</w:t>
      </w:r>
      <w:r w:rsidRPr="00FC35C5">
        <w:t xml:space="preserve">ed that such </w:t>
      </w:r>
      <w:r w:rsidR="005450E2">
        <w:t xml:space="preserve">a </w:t>
      </w:r>
      <w:r w:rsidRPr="00FC35C5">
        <w:t xml:space="preserve">framework should be built to combine high standards of data protection, cross-sectoral and responsible data sharing, clear criteria for sector-specific governance and data quality, and greater control of data by individuals. It is essential to ensure that data collected by a payment subsidiary </w:t>
      </w:r>
      <w:r w:rsidR="004D7D6A">
        <w:t>of</w:t>
      </w:r>
      <w:r w:rsidRPr="00FC35C5">
        <w:t xml:space="preserve"> </w:t>
      </w:r>
      <w:r w:rsidR="005450E2">
        <w:t xml:space="preserve">a </w:t>
      </w:r>
      <w:r w:rsidRPr="00FC35C5">
        <w:t>Big</w:t>
      </w:r>
      <w:r w:rsidR="005450E2">
        <w:t>T</w:t>
      </w:r>
      <w:r w:rsidRPr="00FC35C5">
        <w:t>ech group of companies are not provided to or merged with the data held by the parent company. To make this princip</w:t>
      </w:r>
      <w:r w:rsidR="005450E2">
        <w:t>le</w:t>
      </w:r>
      <w:r w:rsidRPr="00FC35C5">
        <w:t xml:space="preserve"> work, there is a need for firewalls between the payment subsidiary and the parent company.</w:t>
      </w:r>
    </w:p>
    <w:p w:rsidRPr="00FC35C5" w:rsidR="001F2261" w:rsidP="005A66B6" w:rsidRDefault="001F2261">
      <w:pPr>
        <w:pStyle w:val="Heading2"/>
        <w:numPr>
          <w:ilvl w:val="0"/>
          <w:numId w:val="0"/>
        </w:numPr>
        <w:ind w:left="567"/>
      </w:pPr>
    </w:p>
    <w:p w:rsidRPr="00FC35C5" w:rsidR="001F2261" w:rsidP="001F2261" w:rsidRDefault="008D1CCD">
      <w:pPr>
        <w:pStyle w:val="Heading2"/>
      </w:pPr>
      <w:r w:rsidRPr="00FC35C5">
        <w:t>The EESC consider</w:t>
      </w:r>
      <w:r w:rsidRPr="00FC35C5" w:rsidR="00BC4D8C">
        <w:t>s</w:t>
      </w:r>
      <w:r w:rsidRPr="00FC35C5">
        <w:t xml:space="preserve"> that</w:t>
      </w:r>
      <w:r w:rsidRPr="00FC35C5" w:rsidR="00B16F23">
        <w:t>,</w:t>
      </w:r>
      <w:r w:rsidRPr="00FC35C5">
        <w:t xml:space="preserve"> in </w:t>
      </w:r>
      <w:r w:rsidRPr="00FC35C5" w:rsidR="001F2261">
        <w:t>address</w:t>
      </w:r>
      <w:r w:rsidRPr="00FC35C5">
        <w:t xml:space="preserve">ing </w:t>
      </w:r>
      <w:r w:rsidRPr="00FC35C5" w:rsidR="001F2261">
        <w:t>the challenges and risks associa</w:t>
      </w:r>
      <w:r w:rsidRPr="00FC35C5">
        <w:t>ted with digital transformation, regulation for</w:t>
      </w:r>
      <w:r w:rsidRPr="00FC35C5" w:rsidR="001F2261">
        <w:t xml:space="preserve"> technology </w:t>
      </w:r>
      <w:r w:rsidRPr="00FC35C5">
        <w:t>provider</w:t>
      </w:r>
      <w:r w:rsidRPr="00FC35C5" w:rsidR="00B16F23">
        <w:t>s</w:t>
      </w:r>
      <w:r w:rsidRPr="00FC35C5">
        <w:t>, consumer</w:t>
      </w:r>
      <w:r w:rsidRPr="00FC35C5" w:rsidR="00B16F23">
        <w:t xml:space="preserve"> protection</w:t>
      </w:r>
      <w:r w:rsidRPr="00FC35C5">
        <w:t>,</w:t>
      </w:r>
      <w:r w:rsidRPr="00FC35C5" w:rsidR="001F2261">
        <w:t xml:space="preserve"> </w:t>
      </w:r>
      <w:r w:rsidRPr="00FC35C5" w:rsidR="00641FCC">
        <w:t>granting access to financial services, operational resilience</w:t>
      </w:r>
      <w:r w:rsidRPr="00FC35C5" w:rsidR="00C02DAA">
        <w:t xml:space="preserve"> and the </w:t>
      </w:r>
      <w:r w:rsidRPr="00FC35C5" w:rsidR="001F2261">
        <w:t>security of n</w:t>
      </w:r>
      <w:r w:rsidRPr="00FC35C5" w:rsidR="00641FCC">
        <w:t xml:space="preserve">etwork and information systems are </w:t>
      </w:r>
      <w:r w:rsidRPr="00FC35C5" w:rsidR="00C02DAA">
        <w:t xml:space="preserve">all </w:t>
      </w:r>
      <w:r w:rsidRPr="00FC35C5" w:rsidR="001F2261">
        <w:t>crucial for creating the Digital Single Market for financial services.</w:t>
      </w:r>
    </w:p>
    <w:p w:rsidRPr="00FC35C5" w:rsidR="008938B5" w:rsidP="008938B5" w:rsidRDefault="008938B5"/>
    <w:p w:rsidRPr="00796EA0" w:rsidR="008938B5" w:rsidRDefault="008938B5">
      <w:pPr>
        <w:pStyle w:val="Heading2"/>
        <w:rPr>
          <w:rFonts w:eastAsiaTheme="minorHAnsi"/>
        </w:rPr>
      </w:pPr>
      <w:r w:rsidRPr="005B08BA">
        <w:t xml:space="preserve">In the field of cybersecurity, the EESC points out that most European systemic </w:t>
      </w:r>
      <w:r w:rsidRPr="005B08BA" w:rsidR="00B06E62">
        <w:t xml:space="preserve">financial institutions </w:t>
      </w:r>
      <w:r w:rsidRPr="005B08BA">
        <w:t xml:space="preserve">use FinTech services provided by corporations outside the EU. </w:t>
      </w:r>
      <w:r w:rsidRPr="005B08BA" w:rsidR="00D94CAF">
        <w:t>The legislative initiative on Digital Operational Resilience (DORA)</w:t>
      </w:r>
      <w:r w:rsidRPr="005B08BA" w:rsidR="00D94CAF">
        <w:rPr>
          <w:rStyle w:val="FootnoteReference"/>
          <w:sz w:val="22"/>
        </w:rPr>
        <w:footnoteReference w:id="7"/>
      </w:r>
      <w:r w:rsidRPr="005B08BA" w:rsidR="00D94CAF">
        <w:t xml:space="preserve"> proposed by </w:t>
      </w:r>
      <w:r w:rsidRPr="005B08BA" w:rsidR="00897ED7">
        <w:t xml:space="preserve">the </w:t>
      </w:r>
      <w:r w:rsidRPr="005B08BA" w:rsidR="00D94CAF">
        <w:t>Commission may prove insufficient in certain situations</w:t>
      </w:r>
      <w:r w:rsidRPr="005B08BA" w:rsidR="00CC743D">
        <w:t xml:space="preserve">, </w:t>
      </w:r>
      <w:r w:rsidRPr="00796EA0" w:rsidR="00CC743D">
        <w:rPr>
          <w:rFonts w:eastAsiaTheme="minorHAnsi"/>
          <w:bCs/>
          <w:iCs/>
        </w:rPr>
        <w:t>and the EESC therefore welcomes the</w:t>
      </w:r>
      <w:r w:rsidR="00230111">
        <w:rPr>
          <w:rFonts w:eastAsiaTheme="minorHAnsi"/>
          <w:bCs/>
          <w:iCs/>
        </w:rPr>
        <w:t xml:space="preserve"> </w:t>
      </w:r>
      <w:r w:rsidRPr="00134EE5" w:rsidR="00230111">
        <w:rPr>
          <w:rFonts w:eastAsiaTheme="minorHAnsi"/>
          <w:bCs/>
          <w:iCs/>
        </w:rPr>
        <w:t>GAIA-X</w:t>
      </w:r>
      <w:r w:rsidRPr="00796EA0" w:rsidR="00CC743D">
        <w:rPr>
          <w:rFonts w:eastAsiaTheme="minorHAnsi"/>
          <w:bCs/>
          <w:iCs/>
        </w:rPr>
        <w:t xml:space="preserve"> project, which </w:t>
      </w:r>
      <w:r w:rsidR="00230111">
        <w:rPr>
          <w:rFonts w:eastAsiaTheme="minorHAnsi"/>
          <w:bCs/>
          <w:iCs/>
        </w:rPr>
        <w:t>is intended</w:t>
      </w:r>
      <w:r w:rsidRPr="00796EA0" w:rsidR="00CC743D">
        <w:rPr>
          <w:rFonts w:eastAsiaTheme="minorHAnsi"/>
          <w:bCs/>
          <w:iCs/>
        </w:rPr>
        <w:t xml:space="preserve"> to challenge the US and Chin</w:t>
      </w:r>
      <w:r w:rsidR="00230111">
        <w:rPr>
          <w:rFonts w:eastAsiaTheme="minorHAnsi"/>
          <w:bCs/>
          <w:iCs/>
        </w:rPr>
        <w:t xml:space="preserve">a's </w:t>
      </w:r>
      <w:r w:rsidRPr="00134EE5" w:rsidR="00230111">
        <w:rPr>
          <w:rFonts w:eastAsiaTheme="minorHAnsi"/>
          <w:bCs/>
          <w:iCs/>
        </w:rPr>
        <w:t>dominance</w:t>
      </w:r>
      <w:r w:rsidRPr="007275EF" w:rsidDel="00230111" w:rsidR="00230111">
        <w:rPr>
          <w:rFonts w:eastAsiaTheme="minorHAnsi"/>
          <w:bCs/>
          <w:iCs/>
        </w:rPr>
        <w:t xml:space="preserve"> </w:t>
      </w:r>
      <w:r w:rsidR="00230111">
        <w:rPr>
          <w:rFonts w:eastAsiaTheme="minorHAnsi"/>
          <w:bCs/>
          <w:iCs/>
        </w:rPr>
        <w:t>in</w:t>
      </w:r>
      <w:r w:rsidRPr="00796EA0" w:rsidR="00CC743D">
        <w:rPr>
          <w:rFonts w:eastAsiaTheme="minorHAnsi"/>
          <w:bCs/>
          <w:iCs/>
        </w:rPr>
        <w:t xml:space="preserve"> cloud services. This project, which also involves the European Commission, aims to achieve EU data sovereignty or data governance through an EU-based cloud network. As we </w:t>
      </w:r>
      <w:r w:rsidR="00230111">
        <w:rPr>
          <w:rFonts w:eastAsiaTheme="minorHAnsi"/>
          <w:bCs/>
          <w:iCs/>
        </w:rPr>
        <w:t xml:space="preserve">are coming to </w:t>
      </w:r>
      <w:r w:rsidRPr="00796EA0" w:rsidR="00CC743D">
        <w:rPr>
          <w:rFonts w:eastAsiaTheme="minorHAnsi"/>
          <w:bCs/>
          <w:iCs/>
        </w:rPr>
        <w:t xml:space="preserve">rely more heavily on digital services, it is in the interest of EU stakeholders to </w:t>
      </w:r>
      <w:r w:rsidR="00155A32">
        <w:rPr>
          <w:rFonts w:eastAsiaTheme="minorHAnsi"/>
          <w:bCs/>
          <w:iCs/>
        </w:rPr>
        <w:t>be</w:t>
      </w:r>
      <w:r w:rsidRPr="00796EA0" w:rsidR="00CC743D">
        <w:rPr>
          <w:rFonts w:eastAsiaTheme="minorHAnsi"/>
          <w:bCs/>
          <w:iCs/>
        </w:rPr>
        <w:t xml:space="preserve"> independen</w:t>
      </w:r>
      <w:r w:rsidR="00155A32">
        <w:rPr>
          <w:rFonts w:eastAsiaTheme="minorHAnsi"/>
          <w:bCs/>
          <w:iCs/>
        </w:rPr>
        <w:t>t</w:t>
      </w:r>
      <w:r w:rsidRPr="00796EA0" w:rsidR="00CC743D">
        <w:rPr>
          <w:rFonts w:eastAsiaTheme="minorHAnsi"/>
          <w:bCs/>
          <w:iCs/>
        </w:rPr>
        <w:t xml:space="preserve"> from external cloud service providers, and for the EU itself to enhance its economic and political sovereignty. A European cloud network would also facilitate data flows across Member States</w:t>
      </w:r>
      <w:r w:rsidRPr="005B08BA" w:rsidR="00897ED7">
        <w:t>.</w:t>
      </w:r>
      <w:r w:rsidRPr="005B08BA" w:rsidR="00D94CAF">
        <w:t xml:space="preserve"> </w:t>
      </w:r>
    </w:p>
    <w:p w:rsidRPr="00FC35C5" w:rsidR="001F2261" w:rsidP="001F2261" w:rsidRDefault="001F2261">
      <w:pPr>
        <w:pStyle w:val="Heading2"/>
        <w:numPr>
          <w:ilvl w:val="0"/>
          <w:numId w:val="0"/>
        </w:numPr>
        <w:ind w:left="567"/>
      </w:pPr>
    </w:p>
    <w:p w:rsidRPr="00FC35C5" w:rsidR="001F2261" w:rsidP="001F2261" w:rsidRDefault="001F2261">
      <w:pPr>
        <w:pStyle w:val="Heading2"/>
      </w:pPr>
      <w:r w:rsidRPr="00FC35C5">
        <w:t>The Commission</w:t>
      </w:r>
      <w:r w:rsidRPr="00FC35C5" w:rsidR="00AB4BF8">
        <w:t>'</w:t>
      </w:r>
      <w:r w:rsidRPr="00FC35C5">
        <w:t xml:space="preserve">s commitment to the </w:t>
      </w:r>
      <w:r w:rsidRPr="00FC35C5" w:rsidR="00AB4BF8">
        <w:t>"</w:t>
      </w:r>
      <w:r w:rsidRPr="00FC35C5">
        <w:t>same activity, same risk, same rules</w:t>
      </w:r>
      <w:r w:rsidRPr="00FC35C5" w:rsidR="00AB4BF8">
        <w:t>"</w:t>
      </w:r>
      <w:r w:rsidRPr="00FC35C5">
        <w:t xml:space="preserve"> principle is fundamental and </w:t>
      </w:r>
      <w:r w:rsidRPr="00FC35C5" w:rsidR="0007468D">
        <w:t>a</w:t>
      </w:r>
      <w:r w:rsidRPr="00FC35C5" w:rsidR="00AB4BF8">
        <w:t xml:space="preserve"> </w:t>
      </w:r>
      <w:r w:rsidRPr="00FC35C5">
        <w:t xml:space="preserve">key </w:t>
      </w:r>
      <w:r w:rsidRPr="00FC35C5" w:rsidR="0007468D">
        <w:t>aspect of</w:t>
      </w:r>
      <w:r w:rsidRPr="00FC35C5">
        <w:t xml:space="preserve"> </w:t>
      </w:r>
      <w:r w:rsidRPr="00FC35C5" w:rsidR="00AB4BF8">
        <w:t xml:space="preserve">meeting </w:t>
      </w:r>
      <w:r w:rsidRPr="00FC35C5">
        <w:t>the new challenges</w:t>
      </w:r>
      <w:r w:rsidRPr="00FC35C5" w:rsidR="00D94CAF">
        <w:t>, including</w:t>
      </w:r>
      <w:r w:rsidR="004D7D6A">
        <w:t xml:space="preserve"> ensuring the same</w:t>
      </w:r>
      <w:r w:rsidRPr="00FC35C5" w:rsidR="00D94CAF">
        <w:t xml:space="preserve"> supervision</w:t>
      </w:r>
      <w:r w:rsidRPr="00FC35C5">
        <w:t xml:space="preserve">. In light of the increasing </w:t>
      </w:r>
      <w:r w:rsidRPr="005A66B6" w:rsidR="00D94CAF">
        <w:t>inroads of Big</w:t>
      </w:r>
      <w:r w:rsidR="00897ED7">
        <w:t>T</w:t>
      </w:r>
      <w:r w:rsidRPr="005A66B6" w:rsidR="00D94CAF">
        <w:t xml:space="preserve">ech, platforms and </w:t>
      </w:r>
      <w:r w:rsidRPr="00FC35C5" w:rsidR="00514827">
        <w:t>technology</w:t>
      </w:r>
      <w:r w:rsidRPr="005A66B6" w:rsidR="00D94CAF">
        <w:t xml:space="preserve"> companies</w:t>
      </w:r>
      <w:r w:rsidRPr="005A66B6" w:rsidR="00D94CAF">
        <w:rPr>
          <w:u w:val="single"/>
        </w:rPr>
        <w:t xml:space="preserve"> </w:t>
      </w:r>
      <w:r w:rsidRPr="00FC35C5">
        <w:t xml:space="preserve">and useful activities of technology companies in the financial sector, </w:t>
      </w:r>
      <w:r w:rsidRPr="00FC35C5" w:rsidR="008938B5">
        <w:t>the EESC consider</w:t>
      </w:r>
      <w:r w:rsidRPr="00FC35C5" w:rsidR="0007468D">
        <w:t>s</w:t>
      </w:r>
      <w:r w:rsidRPr="00FC35C5" w:rsidR="008938B5">
        <w:t xml:space="preserve"> that </w:t>
      </w:r>
      <w:r w:rsidRPr="00FC35C5">
        <w:t>cre</w:t>
      </w:r>
      <w:r w:rsidRPr="00FC35C5" w:rsidR="0037406E">
        <w:t>ating a level playing field for</w:t>
      </w:r>
      <w:r w:rsidRPr="00FC35C5">
        <w:t xml:space="preserve"> </w:t>
      </w:r>
      <w:r w:rsidRPr="00FC35C5" w:rsidR="00D94CAF">
        <w:t xml:space="preserve">all </w:t>
      </w:r>
      <w:r w:rsidR="00C44038">
        <w:t>market players in this field</w:t>
      </w:r>
      <w:r w:rsidRPr="00FC35C5">
        <w:t xml:space="preserve"> is of particular importance.</w:t>
      </w:r>
    </w:p>
    <w:p w:rsidRPr="00FC35C5" w:rsidR="001F2261" w:rsidP="001F2261" w:rsidRDefault="001F2261">
      <w:pPr>
        <w:pStyle w:val="Heading2"/>
        <w:numPr>
          <w:ilvl w:val="0"/>
          <w:numId w:val="0"/>
        </w:numPr>
        <w:ind w:left="567"/>
      </w:pPr>
    </w:p>
    <w:p w:rsidRPr="00FC35C5" w:rsidR="00AA5798" w:rsidP="00690D84" w:rsidRDefault="001F2261">
      <w:pPr>
        <w:pStyle w:val="Heading2"/>
        <w:keepNext/>
      </w:pPr>
      <w:r w:rsidRPr="00FC35C5">
        <w:t>The Commission is considering a strategy to support and invest in general financial education with a focus on digitali</w:t>
      </w:r>
      <w:r w:rsidRPr="00FC35C5" w:rsidR="0007468D">
        <w:t>s</w:t>
      </w:r>
      <w:r w:rsidRPr="00FC35C5">
        <w:t xml:space="preserve">ation. This can lead to both increased openness </w:t>
      </w:r>
      <w:r w:rsidRPr="00FC35C5" w:rsidR="0007468D">
        <w:t xml:space="preserve">in </w:t>
      </w:r>
      <w:r w:rsidRPr="00FC35C5">
        <w:t>digital services and better prote</w:t>
      </w:r>
      <w:r w:rsidRPr="00FC35C5" w:rsidR="00641FCC">
        <w:t xml:space="preserve">ction </w:t>
      </w:r>
      <w:r w:rsidRPr="00FC35C5" w:rsidR="0007468D">
        <w:t xml:space="preserve">for </w:t>
      </w:r>
      <w:r w:rsidRPr="00FC35C5" w:rsidR="00641FCC">
        <w:t>consumers</w:t>
      </w:r>
      <w:r w:rsidRPr="00FC35C5" w:rsidR="00D94CAF">
        <w:t xml:space="preserve"> regardless of age, gender or occupational status</w:t>
      </w:r>
      <w:r w:rsidRPr="00FC35C5" w:rsidR="00641FCC">
        <w:t xml:space="preserve">. </w:t>
      </w:r>
      <w:r w:rsidR="004D7D6A">
        <w:t xml:space="preserve">The </w:t>
      </w:r>
      <w:r w:rsidRPr="00FC35C5" w:rsidR="00641FCC">
        <w:t xml:space="preserve">EESC </w:t>
      </w:r>
      <w:r w:rsidRPr="00FC35C5">
        <w:t>encourage</w:t>
      </w:r>
      <w:r w:rsidRPr="00FC35C5" w:rsidR="0007468D">
        <w:t>s</w:t>
      </w:r>
      <w:r w:rsidRPr="00FC35C5">
        <w:t xml:space="preserve"> the Commission to continue down this path.</w:t>
      </w:r>
    </w:p>
    <w:p w:rsidR="00E5447A" w:rsidP="00690D84" w:rsidRDefault="00E5447A">
      <w:pPr>
        <w:keepNext/>
      </w:pPr>
    </w:p>
    <w:p w:rsidR="00E5447A" w:rsidP="00690D84" w:rsidRDefault="00E5447A">
      <w:pPr>
        <w:keepNext/>
      </w:pPr>
      <w:r>
        <w:t xml:space="preserve">Brussels, </w:t>
      </w:r>
      <w:r w:rsidR="00C7354A">
        <w:t>24</w:t>
      </w:r>
      <w:r>
        <w:t xml:space="preserve"> February 2021</w:t>
      </w:r>
    </w:p>
    <w:p w:rsidR="00E5447A" w:rsidP="00690D84" w:rsidRDefault="00E5447A">
      <w:pPr>
        <w:keepNext/>
      </w:pPr>
    </w:p>
    <w:p w:rsidR="00E5447A" w:rsidP="00690D84" w:rsidRDefault="00E5447A">
      <w:pPr>
        <w:keepNext/>
      </w:pPr>
    </w:p>
    <w:p w:rsidR="00E5447A" w:rsidP="00690D84" w:rsidRDefault="00E5447A">
      <w:pPr>
        <w:keepNext/>
      </w:pPr>
    </w:p>
    <w:p w:rsidR="00E5447A" w:rsidP="00690D84" w:rsidRDefault="00E5447A">
      <w:pPr>
        <w:keepNext/>
      </w:pPr>
    </w:p>
    <w:p w:rsidR="00E5447A" w:rsidP="00690D84" w:rsidRDefault="00B379C8">
      <w:pPr>
        <w:keepNext/>
      </w:pPr>
      <w:r w:rsidRPr="00B379C8">
        <w:t>Christa S</w:t>
      </w:r>
      <w:r w:rsidRPr="00B379C8" w:rsidR="00E97E0E">
        <w:t>chweng</w:t>
      </w:r>
    </w:p>
    <w:p w:rsidRPr="00FC35C5" w:rsidR="00E5447A" w:rsidP="00690D84" w:rsidRDefault="00E5447A">
      <w:pPr>
        <w:keepNext/>
      </w:pPr>
      <w:r>
        <w:t xml:space="preserve">The president of the </w:t>
      </w:r>
      <w:r w:rsidRPr="00B379C8" w:rsidR="00B379C8">
        <w:t>European Economic and Social Committee</w:t>
      </w:r>
      <w:r w:rsidRPr="00B379C8" w:rsidDel="00B379C8" w:rsidR="00B379C8">
        <w:t xml:space="preserve"> </w:t>
      </w:r>
    </w:p>
    <w:p w:rsidR="00B034E2" w:rsidP="00690D84" w:rsidRDefault="00B034E2">
      <w:pPr>
        <w:keepNext/>
        <w:jc w:val="center"/>
      </w:pPr>
    </w:p>
    <w:p w:rsidRPr="00FC35C5" w:rsidR="00646AC2" w:rsidP="00690D84" w:rsidRDefault="00646AC2">
      <w:pPr>
        <w:keepNext/>
        <w:jc w:val="center"/>
      </w:pPr>
      <w:r w:rsidRPr="00FC35C5">
        <w:t>_____________</w:t>
      </w:r>
    </w:p>
    <w:sectPr w:rsidRPr="00FC35C5" w:rsidR="00646AC2" w:rsidSect="009A7239">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9A7239" w:rsidP="009A7239" w:rsidRDefault="009A7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E32DC6" w:rsidP="009A7239" w:rsidRDefault="009A7239">
    <w:pPr>
      <w:pStyle w:val="Footer"/>
    </w:pPr>
    <w:r>
      <w:t xml:space="preserve">ECO/534 – EESC-2020-04935-00-00-AC-TRA (EN) </w:t>
    </w:r>
    <w:r>
      <w:fldChar w:fldCharType="begin"/>
    </w:r>
    <w:r>
      <w:instrText xml:space="preserve"> PAGE  \* Arabic  \* MERGEFORMAT </w:instrText>
    </w:r>
    <w:r>
      <w:fldChar w:fldCharType="separate"/>
    </w:r>
    <w:r w:rsidR="0021347D">
      <w:rPr>
        <w:noProof/>
      </w:rPr>
      <w:t>1</w:t>
    </w:r>
    <w:r>
      <w:fldChar w:fldCharType="end"/>
    </w:r>
    <w:r>
      <w:t>/</w:t>
    </w:r>
    <w:r w:rsidR="00FB63F4">
      <w:fldChar w:fldCharType="begin"/>
    </w:r>
    <w:r w:rsidR="00FB63F4">
      <w:instrText xml:space="preserve"> NUMPAGES </w:instrText>
    </w:r>
    <w:r w:rsidR="00FB63F4">
      <w:fldChar w:fldCharType="separate"/>
    </w:r>
    <w:r w:rsidR="0021347D">
      <w:rPr>
        <w:noProof/>
      </w:rPr>
      <w:t>1</w:t>
    </w:r>
    <w:r w:rsidR="00FB63F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9A7239" w:rsidP="009A7239" w:rsidRDefault="009A72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8069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9A7239">
    <w:pPr>
      <w:pStyle w:val="Footer"/>
    </w:pPr>
    <w:r>
      <w:t xml:space="preserve">ECO/534 – EESC-2020-04935-00-00-AC-TRA (EN) </w:t>
    </w:r>
    <w:r>
      <w:fldChar w:fldCharType="begin"/>
    </w:r>
    <w:r>
      <w:instrText xml:space="preserve"> PAGE  \* Arabic  \* MERGEFORMAT </w:instrText>
    </w:r>
    <w:r>
      <w:fldChar w:fldCharType="separate"/>
    </w:r>
    <w:r>
      <w:rPr>
        <w:noProof/>
      </w:rPr>
      <w:t>7</w:t>
    </w:r>
    <w:r>
      <w:fldChar w:fldCharType="end"/>
    </w:r>
    <w:r>
      <w:t>/</w:t>
    </w:r>
    <w:r w:rsidR="00FB63F4">
      <w:fldChar w:fldCharType="begin"/>
    </w:r>
    <w:r w:rsidR="00FB63F4">
      <w:instrText xml:space="preserve"> NUMPAGES </w:instrText>
    </w:r>
    <w:r w:rsidR="00FB63F4">
      <w:fldChar w:fldCharType="separate"/>
    </w:r>
    <w:r>
      <w:rPr>
        <w:noProof/>
      </w:rPr>
      <w:t>7</w:t>
    </w:r>
    <w:r w:rsidR="00FB63F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806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Pr="00CD293B" w:rsidR="00E01608" w:rsidP="00E01608" w:rsidRDefault="00A41F84">
      <w:pPr>
        <w:pStyle w:val="NormalWeb"/>
        <w:shd w:val="clear" w:color="auto" w:fill="FFFFFF"/>
        <w:spacing w:before="0" w:beforeAutospacing="0" w:after="75" w:afterAutospacing="0"/>
        <w:ind w:left="567" w:hanging="567"/>
        <w:rPr>
          <w:color w:val="444444"/>
          <w:sz w:val="18"/>
          <w:szCs w:val="18"/>
        </w:rPr>
      </w:pPr>
      <w:r w:rsidRPr="00CD293B">
        <w:rPr>
          <w:rStyle w:val="FootnoteReference"/>
        </w:rPr>
        <w:footnoteRef/>
      </w:r>
      <w:r w:rsidRPr="00CD293B" w:rsidR="009A7434">
        <w:rPr>
          <w:sz w:val="18"/>
          <w:szCs w:val="18"/>
        </w:rPr>
        <w:tab/>
      </w:r>
      <w:hyperlink w:history="1" r:id="rId1">
        <w:r w:rsidRPr="00690D84" w:rsidR="009A7434">
          <w:rPr>
            <w:rStyle w:val="Hyperlink"/>
            <w:sz w:val="16"/>
            <w:szCs w:val="16"/>
          </w:rPr>
          <w:t>COM(2020</w:t>
        </w:r>
        <w:r w:rsidRPr="00690D84" w:rsidR="001B4F47">
          <w:rPr>
            <w:rStyle w:val="Hyperlink"/>
            <w:sz w:val="16"/>
            <w:szCs w:val="16"/>
          </w:rPr>
          <w:t>)</w:t>
        </w:r>
        <w:r w:rsidRPr="00690D84" w:rsidR="009A7434">
          <w:rPr>
            <w:rStyle w:val="Hyperlink"/>
            <w:sz w:val="16"/>
            <w:szCs w:val="16"/>
          </w:rPr>
          <w:t xml:space="preserve"> 591 final</w:t>
        </w:r>
      </w:hyperlink>
    </w:p>
  </w:footnote>
  <w:footnote w:id="2">
    <w:p w:rsidRPr="00CD293B" w:rsidR="00A41F84" w:rsidP="00E01608" w:rsidRDefault="00A41F84">
      <w:pPr>
        <w:pStyle w:val="NormalWeb"/>
        <w:shd w:val="clear" w:color="auto" w:fill="FFFFFF"/>
        <w:spacing w:before="0" w:beforeAutospacing="0" w:after="75" w:afterAutospacing="0"/>
        <w:ind w:left="567" w:hanging="567"/>
        <w:rPr>
          <w:color w:val="444444"/>
          <w:sz w:val="18"/>
          <w:szCs w:val="18"/>
        </w:rPr>
      </w:pPr>
      <w:r w:rsidRPr="00CD293B">
        <w:rPr>
          <w:rStyle w:val="FootnoteReference"/>
        </w:rPr>
        <w:footnoteRef/>
      </w:r>
      <w:r w:rsidRPr="00CD293B" w:rsidR="009A7434">
        <w:rPr>
          <w:sz w:val="18"/>
          <w:szCs w:val="18"/>
        </w:rPr>
        <w:tab/>
      </w:r>
      <w:hyperlink w:history="1" r:id="rId2">
        <w:r w:rsidRPr="003A4894" w:rsidR="009A7434">
          <w:rPr>
            <w:rStyle w:val="Hyperlink"/>
            <w:sz w:val="16"/>
            <w:szCs w:val="16"/>
          </w:rPr>
          <w:t>COM(2020) 592 final</w:t>
        </w:r>
      </w:hyperlink>
    </w:p>
  </w:footnote>
  <w:footnote w:id="3">
    <w:p w:rsidRPr="00690D84" w:rsidR="00A41F84" w:rsidP="00796EA0" w:rsidRDefault="00A41F84">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sidRPr="00690D84">
        <w:rPr>
          <w:rStyle w:val="FootnoteReference"/>
          <w:sz w:val="18"/>
          <w:szCs w:val="18"/>
        </w:rPr>
        <w:footnoteRef/>
      </w:r>
      <w:r w:rsidRPr="00383C10" w:rsidR="009A7434">
        <w:rPr>
          <w:sz w:val="18"/>
          <w:szCs w:val="18"/>
        </w:rPr>
        <w:tab/>
      </w:r>
      <w:hyperlink w:history="1" r:id="rId3">
        <w:r w:rsidRPr="003A4894" w:rsidR="009A7434">
          <w:rPr>
            <w:rStyle w:val="Hyperlink"/>
            <w:sz w:val="16"/>
            <w:szCs w:val="16"/>
          </w:rPr>
          <w:t>COM(2020) 593 final</w:t>
        </w:r>
      </w:hyperlink>
    </w:p>
  </w:footnote>
  <w:footnote w:id="4">
    <w:p w:rsidRPr="00690D84" w:rsidR="009A7434" w:rsidRDefault="005B5FEF">
      <w:pPr>
        <w:pStyle w:val="FootnoteText"/>
        <w:rPr>
          <w:color w:val="444444"/>
          <w:sz w:val="18"/>
          <w:szCs w:val="18"/>
          <w:lang w:eastAsia="en-GB"/>
        </w:rPr>
      </w:pPr>
      <w:r w:rsidRPr="00690D84">
        <w:rPr>
          <w:rStyle w:val="FootnoteReference"/>
          <w:sz w:val="18"/>
          <w:szCs w:val="18"/>
        </w:rPr>
        <w:footnoteRef/>
      </w:r>
      <w:r w:rsidRPr="00690D84" w:rsidR="009A7434">
        <w:rPr>
          <w:sz w:val="18"/>
          <w:szCs w:val="18"/>
        </w:rPr>
        <w:tab/>
      </w:r>
      <w:hyperlink w:history="1" r:id="rId4">
        <w:r w:rsidRPr="003A4894">
          <w:rPr>
            <w:rStyle w:val="Hyperlink"/>
            <w:szCs w:val="16"/>
            <w:lang w:eastAsia="en-GB"/>
          </w:rPr>
          <w:t>COM(2020) 594 final</w:t>
        </w:r>
      </w:hyperlink>
    </w:p>
  </w:footnote>
  <w:footnote w:id="5">
    <w:p w:rsidRPr="00CD293B" w:rsidR="00A41F84" w:rsidP="00E01608" w:rsidRDefault="00A41F84">
      <w:pPr>
        <w:pStyle w:val="NormalWeb"/>
        <w:shd w:val="clear" w:color="auto" w:fill="FFFFFF"/>
        <w:spacing w:before="0" w:beforeAutospacing="0" w:after="75" w:afterAutospacing="0"/>
        <w:ind w:left="567" w:hanging="567"/>
        <w:rPr>
          <w:color w:val="444444"/>
          <w:sz w:val="16"/>
          <w:szCs w:val="16"/>
        </w:rPr>
      </w:pPr>
      <w:r w:rsidRPr="00690D84">
        <w:rPr>
          <w:rStyle w:val="FootnoteReference"/>
          <w:sz w:val="18"/>
          <w:szCs w:val="18"/>
        </w:rPr>
        <w:footnoteRef/>
      </w:r>
      <w:r w:rsidRPr="00690D84" w:rsidR="009A7434">
        <w:rPr>
          <w:sz w:val="18"/>
          <w:szCs w:val="18"/>
        </w:rPr>
        <w:tab/>
      </w:r>
      <w:hyperlink w:history="1" r:id="rId5">
        <w:r w:rsidRPr="003A4894" w:rsidR="009A7434">
          <w:rPr>
            <w:rStyle w:val="Hyperlink"/>
            <w:sz w:val="16"/>
            <w:szCs w:val="16"/>
          </w:rPr>
          <w:t xml:space="preserve">COM(2020) </w:t>
        </w:r>
        <w:r w:rsidRPr="003A4894">
          <w:rPr>
            <w:rStyle w:val="Hyperlink"/>
            <w:sz w:val="16"/>
            <w:szCs w:val="16"/>
          </w:rPr>
          <w:t>595 final</w:t>
        </w:r>
      </w:hyperlink>
      <w:r w:rsidRPr="003A4894">
        <w:rPr>
          <w:sz w:val="16"/>
          <w:szCs w:val="16"/>
        </w:rPr>
        <w:t xml:space="preserve"> </w:t>
      </w:r>
      <w:r w:rsidRPr="003A4894" w:rsidR="009A7434">
        <w:rPr>
          <w:sz w:val="16"/>
          <w:szCs w:val="16"/>
        </w:rPr>
        <w:t xml:space="preserve">and </w:t>
      </w:r>
      <w:hyperlink w:history="1" r:id="rId6">
        <w:r w:rsidRPr="003A4894" w:rsidR="009A7434">
          <w:rPr>
            <w:rStyle w:val="Hyperlink"/>
            <w:sz w:val="16"/>
            <w:szCs w:val="16"/>
          </w:rPr>
          <w:t xml:space="preserve">COM(2020) </w:t>
        </w:r>
        <w:r w:rsidRPr="003A4894" w:rsidR="00BC4D8C">
          <w:rPr>
            <w:rStyle w:val="Hyperlink"/>
            <w:sz w:val="16"/>
            <w:szCs w:val="16"/>
          </w:rPr>
          <w:t>596 final</w:t>
        </w:r>
      </w:hyperlink>
    </w:p>
  </w:footnote>
  <w:footnote w:id="6">
    <w:p w:rsidRPr="00690D84" w:rsidR="00D94CAF" w:rsidP="00D94CAF" w:rsidRDefault="00D94CAF">
      <w:pPr>
        <w:pStyle w:val="FootnoteText"/>
        <w:rPr>
          <w:sz w:val="18"/>
          <w:szCs w:val="18"/>
        </w:rPr>
      </w:pPr>
      <w:r w:rsidRPr="00690D84">
        <w:rPr>
          <w:rStyle w:val="FootnoteReference"/>
          <w:sz w:val="18"/>
          <w:szCs w:val="18"/>
        </w:rPr>
        <w:footnoteRef/>
      </w:r>
      <w:r w:rsidRPr="00690D84" w:rsidR="003A70A1">
        <w:rPr>
          <w:sz w:val="18"/>
          <w:szCs w:val="18"/>
        </w:rPr>
        <w:tab/>
      </w:r>
      <w:hyperlink w:history="1" r:id="rId7">
        <w:r w:rsidRPr="00690D84" w:rsidR="003C7283">
          <w:rPr>
            <w:rStyle w:val="Hyperlink"/>
            <w:szCs w:val="16"/>
          </w:rPr>
          <w:t>O</w:t>
        </w:r>
        <w:r w:rsidRPr="00690D84" w:rsidR="004D52C1">
          <w:rPr>
            <w:rStyle w:val="Hyperlink"/>
            <w:szCs w:val="16"/>
          </w:rPr>
          <w:t>J C 429 11.12.2020, p.</w:t>
        </w:r>
        <w:r w:rsidRPr="00690D84" w:rsidR="00BD5A95">
          <w:rPr>
            <w:rStyle w:val="Hyperlink"/>
            <w:szCs w:val="16"/>
          </w:rPr>
          <w:t xml:space="preserve"> </w:t>
        </w:r>
        <w:r w:rsidRPr="00690D84" w:rsidR="004D52C1">
          <w:rPr>
            <w:rStyle w:val="Hyperlink"/>
            <w:szCs w:val="16"/>
          </w:rPr>
          <w:t>290</w:t>
        </w:r>
      </w:hyperlink>
      <w:r w:rsidRPr="00690D84">
        <w:rPr>
          <w:szCs w:val="16"/>
        </w:rPr>
        <w:t>.</w:t>
      </w:r>
    </w:p>
  </w:footnote>
  <w:footnote w:id="7">
    <w:p w:rsidRPr="00690D84" w:rsidR="00D94CAF" w:rsidP="00D94CAF" w:rsidRDefault="00D94CAF">
      <w:pPr>
        <w:pStyle w:val="FootnoteText"/>
        <w:rPr>
          <w:sz w:val="18"/>
          <w:szCs w:val="18"/>
        </w:rPr>
      </w:pPr>
      <w:r w:rsidRPr="00690D84">
        <w:rPr>
          <w:rStyle w:val="FootnoteReference"/>
          <w:sz w:val="18"/>
          <w:szCs w:val="18"/>
        </w:rPr>
        <w:footnoteRef/>
      </w:r>
      <w:r w:rsidRPr="00690D84">
        <w:rPr>
          <w:sz w:val="18"/>
          <w:szCs w:val="18"/>
        </w:rPr>
        <w:tab/>
      </w:r>
      <w:hyperlink w:history="1" r:id="rId8">
        <w:r w:rsidRPr="00690D84" w:rsidR="000E0126">
          <w:rPr>
            <w:rStyle w:val="Hyperlink"/>
            <w:szCs w:val="16"/>
          </w:rPr>
          <w:t>COM(2020) 595 final</w:t>
        </w:r>
      </w:hyperlink>
      <w:r w:rsidRPr="00690D84">
        <w:rPr>
          <w:szCs w:val="16"/>
        </w:rPr>
        <w:t xml:space="preserve">. See also </w:t>
      </w:r>
      <w:r w:rsidRPr="00690D84" w:rsidR="00897ED7">
        <w:rPr>
          <w:szCs w:val="16"/>
        </w:rPr>
        <w:t xml:space="preserve">the </w:t>
      </w:r>
      <w:r w:rsidRPr="00690D84">
        <w:rPr>
          <w:szCs w:val="16"/>
        </w:rPr>
        <w:t xml:space="preserve">related EESC </w:t>
      </w:r>
      <w:hyperlink w:history="1" r:id="rId9">
        <w:r w:rsidRPr="00690D84">
          <w:rPr>
            <w:rStyle w:val="Hyperlink"/>
            <w:szCs w:val="16"/>
          </w:rPr>
          <w:t xml:space="preserve">opinion </w:t>
        </w:r>
        <w:r w:rsidRPr="00690D84" w:rsidR="005B08BA">
          <w:rPr>
            <w:rStyle w:val="Hyperlink"/>
            <w:szCs w:val="16"/>
          </w:rPr>
          <w:t xml:space="preserve">on </w:t>
        </w:r>
        <w:r w:rsidRPr="00690D84" w:rsidR="005B08BA">
          <w:rPr>
            <w:rStyle w:val="Hyperlink"/>
            <w:i/>
            <w:szCs w:val="16"/>
          </w:rPr>
          <w:t xml:space="preserve">Digital operational resilience </w:t>
        </w:r>
        <w:r w:rsidRPr="00690D84" w:rsidR="005B08BA">
          <w:rPr>
            <w:rStyle w:val="Hyperlink"/>
            <w:szCs w:val="16"/>
          </w:rPr>
          <w:t>(</w:t>
        </w:r>
        <w:r w:rsidRPr="00690D84">
          <w:rPr>
            <w:rStyle w:val="Hyperlink"/>
            <w:szCs w:val="16"/>
          </w:rPr>
          <w:t>ECO/536</w:t>
        </w:r>
      </w:hyperlink>
      <w:r w:rsidRPr="00690D84" w:rsidR="005B08BA">
        <w:rPr>
          <w:szCs w:val="16"/>
        </w:rPr>
        <w:t>).</w:t>
      </w:r>
      <w:r w:rsidRPr="00E740AA" w:rsidR="00E740AA">
        <w:t xml:space="preserve"> </w:t>
      </w:r>
      <w:r w:rsidRPr="00E740AA" w:rsidR="00E740AA">
        <w:rPr>
          <w:szCs w:val="16"/>
        </w:rPr>
        <w:t>Not yet published.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9A7239" w:rsidP="009A7239" w:rsidRDefault="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9A7239" w:rsidP="009A7239" w:rsidRDefault="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9A7239" w:rsidP="009A7239" w:rsidRDefault="009A72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8069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8069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A7239" w:rsidR="0080698D" w:rsidP="009A7239" w:rsidRDefault="00806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347D"/>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n-US"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n-US"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ELEX%3A52020PC0595&amp;qid=1605625322451" TargetMode="External"/><Relationship Id="rId3" Type="http://schemas.openxmlformats.org/officeDocument/2006/relationships/hyperlink" Target="https://eur-lex.europa.eu/legal-content/EN/TXT/?uri=CELEX%3A52020PC0593&amp;qid=1605625281051" TargetMode="External"/><Relationship Id="rId7" Type="http://schemas.openxmlformats.org/officeDocument/2006/relationships/hyperlink" Target="https://eur-lex.europa.eu/legal-content/EN/TXT/?uri=CELEX%3A52020AE1042&amp;qid=1601415540830" TargetMode="External"/><Relationship Id="rId2" Type="http://schemas.openxmlformats.org/officeDocument/2006/relationships/hyperlink" Target="https://eur-lex.europa.eu/legal-content/EN/TXT/?uri=COM:2020:0592:FIN" TargetMode="External"/><Relationship Id="rId1" Type="http://schemas.openxmlformats.org/officeDocument/2006/relationships/hyperlink" Target="https://eur-lex.europa.eu/legal-content/EN/TXT/?uri=CELEX%3A52020DC0591" TargetMode="External"/><Relationship Id="rId6" Type="http://schemas.openxmlformats.org/officeDocument/2006/relationships/hyperlink" Target="https://eur-lex.europa.eu/legal-content/EN/TXT/?uri=CELEX%3A52020PC0596&amp;qid=1605625359281" TargetMode="External"/><Relationship Id="rId5" Type="http://schemas.openxmlformats.org/officeDocument/2006/relationships/hyperlink" Target="https://eur-lex.europa.eu/legal-content/EN/TXT/?uri=CELEX%3A52020PC0595&amp;qid=1605625322451" TargetMode="External"/><Relationship Id="rId4" Type="http://schemas.openxmlformats.org/officeDocument/2006/relationships/hyperlink" Target="https://eur-lex.europa.eu/legal-content/EN/TXT/?uri=CELEX%3A52020PC0594" TargetMode="External"/><Relationship Id="rId9" Type="http://schemas.openxmlformats.org/officeDocument/2006/relationships/hyperlink" Target="https://www.eesc.europa.eu/en/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VV634QRNENMJ-592872750-7270</_dlc_DocId>
    <_dlc_DocIdUrl xmlns="cda99570-6012-4083-bfeb-7d32ad1ce1a3">
      <Url>http://dm2016/eesc/2020/_layouts/15/DocIdRedir.aspx?ID=VV634QRNENMJ-592872750-7270</Url>
      <Description>VV634QRNENMJ-592872750-7270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39A1651-481F-48BA-8C5F-C83A6AE3DAFA}"/>
</file>

<file path=customXml/itemProps2.xml><?xml version="1.0" encoding="utf-8"?>
<ds:datastoreItem xmlns:ds="http://schemas.openxmlformats.org/officeDocument/2006/customXml" ds:itemID="{8F83FE66-D515-4904-A4FF-F28ED97A8EFA}"/>
</file>

<file path=customXml/itemProps3.xml><?xml version="1.0" encoding="utf-8"?>
<ds:datastoreItem xmlns:ds="http://schemas.openxmlformats.org/officeDocument/2006/customXml" ds:itemID="{073C4E81-2C6E-4B34-88EA-07D62F9B5957}"/>
</file>

<file path=customXml/itemProps4.xml><?xml version="1.0" encoding="utf-8"?>
<ds:datastoreItem xmlns:ds="http://schemas.openxmlformats.org/officeDocument/2006/customXml" ds:itemID="{F406C4EB-8B8A-4B8F-96B3-9829D93BE687}"/>
</file>

<file path=docProps/app.xml><?xml version="1.0" encoding="utf-8"?>
<Properties xmlns="http://schemas.openxmlformats.org/officeDocument/2006/extended-properties" xmlns:vt="http://schemas.openxmlformats.org/officeDocument/2006/docPropsVTypes">
  <Template>Styles</Template>
  <TotalTime>0</TotalTime>
  <Pages>1</Pages>
  <Words>1837</Words>
  <Characters>10471</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Finance Strategy</dc:title>
  <dc:subject>Committee opinion</dc:subject>
  <dc:creator>Tomas Vocasek</dc:creator>
  <cp:keywords>EESC-2020-04935-00-00-AC-TRA-EN</cp:keywords>
  <dc:description>Rapporteur: - DANDEA &amp; FRANK VON FÜRSTENWERTH Original language: - EN Date of document: - 01/03/2021 Date of meeting: -  External documents: - COM(2020)591-final Administrator responsible: - M. KLEC Gerald</dc:description>
  <cp:lastModifiedBy>TDriveSVCUserProd</cp:lastModifiedBy>
  <cp:revision>4</cp:revision>
  <cp:lastPrinted>2016-01-26T08:31:00Z</cp:lastPrinted>
  <dcterms:created xsi:type="dcterms:W3CDTF">2021-03-01T07:31:00Z</dcterms:created>
  <dcterms:modified xsi:type="dcterms:W3CDTF">2021-03-01T07:33:00Z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76e00c79-59f6-4eff-b817-43b736d1843d</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TRA|150d2a88-1431-44e6-a8ca-0bb753ab8672;#80;#ECO|8df351f5-c957-404c-8cf3-8ffb22c9cba2;#6;#Final|ea5e6674-7b27-4bac-b091-73adbb394efe;#5;#Unrestricted|826e22d7-d029-4ec0-a450-0c28ff673572;#4;#EN|f2175f21-25d7-44a3-96da-d6a61b075e1b;#70;#AC|a4cc1d15-fb08-4679-ad46-e4e0cba5fe92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4;#EN|f2175f21-25d7-44a3-96da-d6a61b075e1b</vt:lpwstr>
  </property>
  <property fmtid="{D5CDD505-2E9C-101B-9397-08002B2CF9AE}" pid="40" name="_docset_NoMedatataSyncRequired">
    <vt:lpwstr>False</vt:lpwstr>
  </property>
</Properties>
</file>