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875B64" w:rsidP="008C74D9">
      <w:pPr>
        <w:jc w:val="center"/>
      </w:pPr>
      <w:r>
        <w:rPr>
          <w:noProof/>
          <w:lang w:val="en-US"/>
        </w:rPr>
        <w:drawing>
          <wp:inline distT="0" distB="0" distL="0" distR="0">
            <wp:extent cx="1792605" cy="1239520"/>
            <wp:effectExtent l="0" t="0" r="0" b="0"/>
            <wp:docPr id="1" name="Picture 1" title="EESCLogo_L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LV</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bookmarkStart w:id="0" w:name="_GoBack"/>
      <w:r>
        <w:rPr>
          <w:b/>
        </w:rPr>
        <w:t>Digitālā finansējuma stratēģija</w:t>
      </w:r>
      <w:bookmarkEnd w:id="0"/>
    </w:p>
    <w:p w:rsidR="009B30AA" w:rsidRPr="00FC35C5" w:rsidRDefault="009B30AA" w:rsidP="0015678B"/>
    <w:p w:rsidR="009B30AA" w:rsidRPr="00FC35C5" w:rsidRDefault="009B30AA" w:rsidP="0015678B"/>
    <w:p w:rsidR="00646AC2" w:rsidRPr="00FC35C5" w:rsidRDefault="00804B96" w:rsidP="0015678B">
      <w:pPr>
        <w:jc w:val="center"/>
      </w:pPr>
      <w:r>
        <w:rPr>
          <w:b/>
          <w:sz w:val="28"/>
        </w:rPr>
        <w:t>ATZINUMS</w:t>
      </w:r>
      <w:r w:rsidR="00182E6B">
        <w:cr/>
      </w:r>
      <w:r>
        <w:br/>
        <w:t>Eiropas Ekonom</w:t>
      </w:r>
      <w:r w:rsidR="00182E6B">
        <w:t>ikas un sociālo lietu komiteja</w:t>
      </w:r>
      <w:r w:rsidR="00182E6B">
        <w:br/>
      </w:r>
      <w:r>
        <w:br/>
      </w:r>
      <w:r>
        <w:rPr>
          <w:b/>
        </w:rPr>
        <w:t>Komisijas paziņojums Eiropas Parlamentam, Padomei, Eiropas Ekonomikas un sociālo lietu komitejai un Reģionu komitejai</w:t>
      </w:r>
      <w:r>
        <w:rPr>
          <w:b/>
        </w:rPr>
        <w:cr/>
      </w:r>
      <w:r>
        <w:rPr>
          <w:b/>
        </w:rPr>
        <w:br/>
        <w:t>“ES digitālā finansējuma stratēģija”</w:t>
      </w:r>
      <w:r>
        <w:cr/>
      </w:r>
      <w:r>
        <w:br/>
        <w:t>[COM(2020) 591 final]</w:t>
      </w:r>
    </w:p>
    <w:p w:rsidR="009B30AA" w:rsidRPr="00FC35C5" w:rsidRDefault="009B30AA" w:rsidP="0015678B">
      <w:pPr>
        <w:jc w:val="center"/>
      </w:pPr>
    </w:p>
    <w:p w:rsidR="00704FBB" w:rsidRPr="00FC35C5" w:rsidRDefault="007F5E0D" w:rsidP="0015678B">
      <w:pPr>
        <w:jc w:val="center"/>
        <w:rPr>
          <w:b/>
        </w:rPr>
      </w:pPr>
      <w:r>
        <w:t>Ziņotājs:</w:t>
      </w:r>
      <w:r>
        <w:rPr>
          <w:i/>
        </w:rPr>
        <w:t xml:space="preserve"> </w:t>
      </w:r>
      <w:r>
        <w:rPr>
          <w:b/>
          <w:i/>
        </w:rPr>
        <w:t>Petru Sorin Dandea</w:t>
      </w:r>
    </w:p>
    <w:p w:rsidR="00E97E0E" w:rsidRPr="00FC35C5" w:rsidRDefault="00840F00" w:rsidP="0015678B">
      <w:pPr>
        <w:jc w:val="center"/>
        <w:rPr>
          <w:b/>
        </w:rPr>
      </w:pPr>
      <w:r>
        <w:t>Līdzziņotājs:</w:t>
      </w:r>
      <w:r>
        <w:rPr>
          <w:i/>
        </w:rPr>
        <w:t xml:space="preserve"> </w:t>
      </w:r>
      <w:r>
        <w:rPr>
          <w:b/>
          <w:i/>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Atzinuma pieprasījums</w:t>
            </w:r>
          </w:p>
        </w:tc>
        <w:tc>
          <w:tcPr>
            <w:tcW w:w="6018" w:type="dxa"/>
          </w:tcPr>
          <w:p w:rsidR="0011656A" w:rsidRPr="00FC35C5" w:rsidRDefault="00222006" w:rsidP="00AE1808">
            <w:pPr>
              <w:jc w:val="left"/>
            </w:pPr>
            <w:r>
              <w:t>Eiropas Komisija, 11/11/2020</w:t>
            </w:r>
          </w:p>
        </w:tc>
      </w:tr>
      <w:tr w:rsidR="0016503F" w:rsidRPr="00FC35C5" w:rsidTr="00E670BD">
        <w:trPr>
          <w:trHeight w:val="251"/>
        </w:trPr>
        <w:tc>
          <w:tcPr>
            <w:tcW w:w="3055" w:type="dxa"/>
          </w:tcPr>
          <w:p w:rsidR="0016503F" w:rsidRPr="00FC35C5" w:rsidRDefault="0016503F" w:rsidP="0015678B">
            <w:pPr>
              <w:jc w:val="left"/>
            </w:pPr>
            <w:r>
              <w:t>Juridiskais pamats</w:t>
            </w:r>
          </w:p>
        </w:tc>
        <w:tc>
          <w:tcPr>
            <w:tcW w:w="6018" w:type="dxa"/>
          </w:tcPr>
          <w:p w:rsidR="0016503F" w:rsidRPr="00FC35C5" w:rsidRDefault="0016503F" w:rsidP="0015678B">
            <w:pPr>
              <w:jc w:val="left"/>
            </w:pPr>
            <w:r>
              <w:t>Līguma par Eiropas Savienības darbību 304. pants</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Atbildīgā specializētā nodaļa</w:t>
            </w:r>
          </w:p>
        </w:tc>
        <w:tc>
          <w:tcPr>
            <w:tcW w:w="6018" w:type="dxa"/>
          </w:tcPr>
          <w:p w:rsidR="00DF5B64" w:rsidRPr="00FC35C5" w:rsidRDefault="00AA5798" w:rsidP="0015678B">
            <w:pPr>
              <w:jc w:val="left"/>
            </w:pPr>
            <w:r>
              <w:t>Ekonomikas un monetārās savienības, ekonomiskās un sociālās kohēzijas specializētā nodaļa</w:t>
            </w:r>
          </w:p>
        </w:tc>
      </w:tr>
      <w:tr w:rsidR="00A156E6" w:rsidRPr="00FC35C5" w:rsidTr="00E670BD">
        <w:tc>
          <w:tcPr>
            <w:tcW w:w="3055" w:type="dxa"/>
          </w:tcPr>
          <w:p w:rsidR="00A156E6" w:rsidRPr="00FC35C5" w:rsidRDefault="00A156E6" w:rsidP="0015678B">
            <w:pPr>
              <w:jc w:val="left"/>
            </w:pPr>
            <w:r>
              <w:t>Pieņemts specializētās nodaļas sanāksmē</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Pieņemts plenārsesijā</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Plenārsesija Nr.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Balsojuma rezultāts</w:t>
            </w:r>
            <w:r>
              <w:br/>
              <w:t>(par / pret / atturas)</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82E6B">
      <w:pPr>
        <w:pStyle w:val="Heading1"/>
        <w:keepNext/>
        <w:tabs>
          <w:tab w:val="left" w:pos="567"/>
        </w:tabs>
        <w:rPr>
          <w:b/>
        </w:rPr>
      </w:pPr>
      <w:r>
        <w:rPr>
          <w:b/>
        </w:rPr>
        <w:lastRenderedPageBreak/>
        <w:t>Secinājumi un ieteikumi</w:t>
      </w:r>
    </w:p>
    <w:p w:rsidR="00011D33" w:rsidRPr="00FC35C5" w:rsidRDefault="00011D33" w:rsidP="0015678B">
      <w:pPr>
        <w:keepNext/>
      </w:pPr>
    </w:p>
    <w:p w:rsidR="00D94CAF" w:rsidRPr="00FC35C5" w:rsidRDefault="00D94CAF" w:rsidP="00182E6B">
      <w:pPr>
        <w:pStyle w:val="Heading2"/>
      </w:pPr>
      <w:r>
        <w:t>EESK atzinīgi vērtē Komisijas ierosināto digitālā finansējuma tiesību aktu kopumu un uzskata, ka tajā ir ietverti stratēģiski normatīvie un nenormatīvie elementi, kuru mērķis ir attīstīt šo nozari.</w:t>
      </w:r>
    </w:p>
    <w:p w:rsidR="00D94CAF" w:rsidRPr="00FC35C5" w:rsidRDefault="00D94CAF" w:rsidP="00D94CAF"/>
    <w:p w:rsidR="00D94CAF" w:rsidRPr="00FC35C5" w:rsidRDefault="00D94CAF" w:rsidP="00D94CAF">
      <w:pPr>
        <w:pStyle w:val="Heading2"/>
      </w:pPr>
      <w:r>
        <w:t>Komisijas ierosinātā četru prioritāšu programma būtībā aptver gandrīz visas svarīgās darbības jomas ES finanšu nozares digitālās pārveides procesā. EESK atbalsta šo Komisijas pieeju.</w:t>
      </w:r>
    </w:p>
    <w:p w:rsidR="00D94CAF" w:rsidRPr="00FC35C5" w:rsidRDefault="00D94CAF" w:rsidP="00D94CAF"/>
    <w:p w:rsidR="00D94CAF" w:rsidRPr="00FC35C5" w:rsidRDefault="00D94CAF" w:rsidP="00D94CAF">
      <w:pPr>
        <w:pStyle w:val="Heading2"/>
      </w:pPr>
      <w:r>
        <w:t>Komisija ir uz pareizā ceļa, paļaujoties uz to, ka spēcīgi Eiropas tirgus dalībnieki ieviesīs digitālos finanšu pakalpojumus, taču EESK uzskata, ka tikpat svarīgi ir pievērsties arī specializētu reģionālo un/vai vietējo kooperatīvo vai savstarpējo pakalpojumu sniedzēju īpašajai nozīmei finanšu nozarē.</w:t>
      </w:r>
    </w:p>
    <w:p w:rsidR="00D94CAF" w:rsidRPr="00FC35C5" w:rsidRDefault="00D94CAF" w:rsidP="00D94CAF"/>
    <w:p w:rsidR="00D94CAF" w:rsidRPr="00FC35C5" w:rsidRDefault="00FC35C5" w:rsidP="00D94CAF">
      <w:pPr>
        <w:pStyle w:val="Heading2"/>
      </w:pPr>
      <w:r>
        <w:t>Digitalizācijas procesa dēļ ES finanšu nozare saskaras ar vērienīgu pārveides procesu, kas iet roku rokā ar tālejošiem pārstrukturēšanas procesiem, vietējo filiāļu slēgšanu, izmaiņām darbinieku profesionālajā kvalifikācijā un pilnīgi jaunām darba formām. Šīs būtiskās izmaiņas nedrīkst ignorēt. Tās ir liels izaicinājums finanšu nozares pakalpojumu sniedzējiem un, protams, arī darbiniekiem.</w:t>
      </w:r>
    </w:p>
    <w:p w:rsidR="00D94CAF" w:rsidRPr="00FC35C5" w:rsidRDefault="00D94CAF" w:rsidP="00D94CAF"/>
    <w:p w:rsidR="00D94CAF" w:rsidRPr="00FC35C5" w:rsidRDefault="00D94CAF" w:rsidP="00D94CAF">
      <w:pPr>
        <w:pStyle w:val="Heading2"/>
      </w:pPr>
      <w:r>
        <w:t>Komisija paziņoja, ka ir jāapsver iespēja izveidot ES digitālās finanšu darbības platformu. EESK tam piekrīt un iesaka šajā procesā iesaistīt arī sociālos partnerus un pilsoniskās sabiedrības pārstāvjus.</w:t>
      </w:r>
    </w:p>
    <w:p w:rsidR="00D94CAF" w:rsidRPr="00FC35C5" w:rsidRDefault="00D94CAF" w:rsidP="00D94CAF"/>
    <w:p w:rsidR="00D94CAF" w:rsidRPr="00FC35C5" w:rsidRDefault="00D94CAF" w:rsidP="00D94CAF">
      <w:pPr>
        <w:pStyle w:val="Heading2"/>
      </w:pPr>
      <w:r>
        <w:t>EESK uzskata, ka ar digitālo pārveidi saistīto problēmu un risku novēršanā tehnoloģiju nodrošinātāju darbības regulējumam, patērētāju aizsardzībai, piekļuves finanšu pakalpojumiem nodrošināšanai, darbības noturībai un tīklu un informācijas sistēmu drošībai ir būtiska nozīme finanšu pakalpojumu vienotā digitālā tirgus izveidē.</w:t>
      </w:r>
    </w:p>
    <w:p w:rsidR="00D94CAF" w:rsidRPr="00FC35C5" w:rsidRDefault="00D94CAF" w:rsidP="00D94CAF"/>
    <w:p w:rsidR="00E23A48" w:rsidRPr="00FC35C5" w:rsidRDefault="00D94CAF" w:rsidP="00E23A48">
      <w:pPr>
        <w:pStyle w:val="Heading2"/>
      </w:pPr>
      <w:r>
        <w:t xml:space="preserve">Kiberdrošības jomā EESK atzinīgi vērtē </w:t>
      </w:r>
      <w:r>
        <w:rPr>
          <w:i/>
        </w:rPr>
        <w:t>GAIA-X</w:t>
      </w:r>
      <w:r>
        <w:t xml:space="preserve"> projektu, kura mērķis ir izaicināt ASV un Ķīnas dominējošo stāvokli mākoņpakalpojumu jomā. Šajā projektā ir iesaistīta arī Eiropas Komisija, un tā mērķis ir nodrošināt ES datu suverenitāti un datu pārvaldību, izmantojot ES</w:t>
      </w:r>
      <w:r>
        <w:noBreakHyphen/>
        <w:t xml:space="preserve"> bāzētu mākoņdatošanas tīklu.</w:t>
      </w:r>
    </w:p>
    <w:p w:rsidR="00D94CAF" w:rsidRPr="00FC35C5" w:rsidRDefault="00D94CAF" w:rsidP="00D94CAF"/>
    <w:p w:rsidR="00D94CAF" w:rsidRPr="00FC35C5" w:rsidRDefault="00D94CAF" w:rsidP="00D94CAF">
      <w:pPr>
        <w:pStyle w:val="Heading2"/>
      </w:pPr>
      <w:r>
        <w:t>Komisijas apņemšanās ievērot principu “vienāda darbība, vienāds risks, vienādi noteikumi” ir būtiski svarīga un nozīmīga jauno problēmu risināšanā, tostarp vienādas uzraudzības nodrošināšanā. EESK uzskata, ka īpaši svarīgi ir radīt vienlīdzīgus konkurences apstākļus visām finanšu iestādēm.</w:t>
      </w:r>
    </w:p>
    <w:p w:rsidR="00546895" w:rsidRPr="00FC35C5" w:rsidRDefault="00546895" w:rsidP="0015678B"/>
    <w:p w:rsidR="00957781" w:rsidRPr="00FC35C5" w:rsidRDefault="00957781" w:rsidP="00182E6B">
      <w:pPr>
        <w:pStyle w:val="Heading1"/>
        <w:keepNext/>
        <w:tabs>
          <w:tab w:val="left" w:pos="567"/>
        </w:tabs>
        <w:rPr>
          <w:b/>
        </w:rPr>
      </w:pPr>
      <w:r>
        <w:rPr>
          <w:b/>
        </w:rPr>
        <w:t>Komisijas priekšlikumi</w:t>
      </w:r>
    </w:p>
    <w:p w:rsidR="00957781" w:rsidRPr="00FC35C5" w:rsidRDefault="00957781">
      <w:pPr>
        <w:keepNext/>
      </w:pPr>
    </w:p>
    <w:p w:rsidR="001F1831" w:rsidRPr="00FC35C5" w:rsidRDefault="001F1831" w:rsidP="00957781">
      <w:pPr>
        <w:pStyle w:val="Heading2"/>
      </w:pPr>
      <w:r>
        <w:t>Komisija 2020. gada 24. septembrī apstiprināja digitālā finansējuma tiesību aktu kopumu, kurā ietilpst digitālā finansējuma stratēģija</w:t>
      </w:r>
      <w:r w:rsidR="00A41F84" w:rsidRPr="00FC35C5">
        <w:rPr>
          <w:rStyle w:val="FootnoteReference"/>
        </w:rPr>
        <w:footnoteReference w:id="1"/>
      </w:r>
      <w:r>
        <w:t>, stratēģija “Neliela apjoma maksājumi”</w:t>
      </w:r>
      <w:r w:rsidR="00A41F84" w:rsidRPr="00FC35C5">
        <w:rPr>
          <w:rStyle w:val="FootnoteReference"/>
        </w:rPr>
        <w:footnoteReference w:id="2"/>
      </w:r>
      <w:r>
        <w:t xml:space="preserve">, tiesību akta </w:t>
      </w:r>
      <w:r>
        <w:lastRenderedPageBreak/>
        <w:t>priekšlikumi par ES tiesisko regulējumu attiecībā uz kriptoaktīvu tirgiem</w:t>
      </w:r>
      <w:r w:rsidR="00A41F84" w:rsidRPr="00FC35C5">
        <w:rPr>
          <w:rStyle w:val="FootnoteReference"/>
        </w:rPr>
        <w:footnoteReference w:id="3"/>
      </w:r>
      <w:r>
        <w:t xml:space="preserve"> un to pamatā esošo sadalītās virsgrāmatas tehnoloģiju</w:t>
      </w:r>
      <w:r w:rsidR="005B5FEF" w:rsidRPr="00FC35C5">
        <w:rPr>
          <w:rStyle w:val="FootnoteReference"/>
        </w:rPr>
        <w:footnoteReference w:id="4"/>
      </w:r>
      <w:r>
        <w:t>, kā arī tiesību akta priekšlikumi par ES tiesisko regulējumu attiecībā uz digitālās darbības noturību</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Ļoti dinamiskā digitālās inovācijas procesā, ko vēl vairāk paātrina Covid-19 krīze, Komisija ierosina stratēģiju, kurā ir paredzēts viens stratēģiskais mērķis un četras prioritātes un saistītās darbības digitālā finansējuma jomā. Minētā stratēģija ir skatīta šajā EESK atzinumā.</w:t>
      </w:r>
    </w:p>
    <w:p w:rsidR="000B69F9" w:rsidRPr="00FC35C5" w:rsidRDefault="000B69F9" w:rsidP="000B69F9">
      <w:pPr>
        <w:pStyle w:val="Heading2"/>
        <w:numPr>
          <w:ilvl w:val="0"/>
          <w:numId w:val="0"/>
        </w:numPr>
        <w:ind w:left="567"/>
      </w:pPr>
    </w:p>
    <w:p w:rsidR="00A41F84" w:rsidRPr="00FC35C5" w:rsidRDefault="000B69F9" w:rsidP="00E03B17">
      <w:pPr>
        <w:pStyle w:val="Heading2"/>
      </w:pPr>
      <w:r>
        <w:t>Komisijas noteiktais stratēģiskais mērķis ir izmantot digitālo finansējumu patērētāju un uzņēmumu labā. Četras prioritātes ir šādas: 1) novērst finanšu pakalpojumu vienotā digitālā tirgus sadrumstalotību, tādējādi ļaujot Eiropas patērētājiem piekļūt pārrobežu pakalpojumiem un palīdzot Eiropas finanšu uzņēmumiem izvērst savu digitālo darbību; 2) nodrošināt, ka ES tiesiskais regulējums veicina digitālo inovāciju patērētāju un tirgus efektivitātes interesēs; 3) izveidot Eiropas finanšu datu telpu, lai veicinātu uz datiem balstītu inovāciju, pamatojoties uz Eiropas Datu stratēģiju, tajā skaitā uzlabotu piekļuvi datiem un datu apmaiņu finanšu nozarē; un 4) risināt jaunas problēmas un riskus, kas saistīti ar digitālo pārveidi.</w:t>
      </w:r>
    </w:p>
    <w:p w:rsidR="00957781" w:rsidRPr="00FC35C5" w:rsidRDefault="00957781" w:rsidP="00957781"/>
    <w:p w:rsidR="00011D33" w:rsidRPr="00FC35C5" w:rsidRDefault="00011D33" w:rsidP="00182E6B">
      <w:pPr>
        <w:pStyle w:val="Heading1"/>
        <w:keepNext/>
        <w:keepLines/>
        <w:tabs>
          <w:tab w:val="left" w:pos="567"/>
        </w:tabs>
        <w:rPr>
          <w:b/>
        </w:rPr>
      </w:pPr>
      <w:r>
        <w:rPr>
          <w:b/>
        </w:rPr>
        <w:t>Vispārīgas un īpašas piezīmes</w:t>
      </w:r>
    </w:p>
    <w:p w:rsidR="00957781" w:rsidRPr="00FC35C5" w:rsidRDefault="00957781" w:rsidP="00B91EDD">
      <w:pPr>
        <w:keepNext/>
        <w:keepLines/>
      </w:pPr>
    </w:p>
    <w:p w:rsidR="00957781" w:rsidRPr="00FC35C5" w:rsidRDefault="00957781" w:rsidP="00E03B17">
      <w:pPr>
        <w:pStyle w:val="Heading2"/>
      </w:pPr>
      <w:r>
        <w:t>Ar savu iniciatīvu Eiropā izveidot un īstenot jaunu digitālā finansējuma stratēģiju (kas ir daļa no Komisijas digitālā finansējuma tiesību aktu kopuma) Komisija apliecina digitalizācijas milzīgo nozīmi finanšu nozarē (digitālo finanšu pakalpojumu nozarē). Covid-19 krīzes laikā šī nozīme ir kļuvusi acīmredzama. Komisijas ierosinātā četru prioritāšu programma būtībā aptver gandrīz visas svarīgās darbības jomas ES finanšu nozares digitālās pārveides procesā. EESK atbalsta šo Komisijas pieeju.</w:t>
      </w:r>
    </w:p>
    <w:p w:rsidR="00957781" w:rsidRPr="00FC35C5" w:rsidRDefault="00957781" w:rsidP="00E03B17">
      <w:pPr>
        <w:pStyle w:val="Heading2"/>
        <w:numPr>
          <w:ilvl w:val="0"/>
          <w:numId w:val="0"/>
        </w:numPr>
      </w:pPr>
    </w:p>
    <w:p w:rsidR="00D94CAF" w:rsidRPr="00FC35C5" w:rsidRDefault="00957781" w:rsidP="00D94CAF">
      <w:pPr>
        <w:pStyle w:val="Heading2"/>
      </w:pPr>
      <w:r>
        <w:t>Komisija ir uz pareizā ceļa, paļaujoties uz to, ka spēcīgi Eiropas tirgus dalībnieki ieviesīs digitālos finanšu pakalpojumus, taču EESK uzskata, ka tikpat svarīgi ir apsvērt arī specializētu reģionālo un/vai kooperatīvo vai savstarpējo pakalpojumu sniedzēju īpašo nozīmi finanšu nozarē, jo finanšu nozares daudzveidība palīdz apmierināt patērētāju un MVU īpašās vajadzības un veidot konkurētspējīgus tirgus. EESK aicina Komisiju censties panākt samērīgumu finanšu iestāžu un to produktu veida, apjoma un sarežģītības ziņā.</w:t>
      </w:r>
    </w:p>
    <w:p w:rsidR="00957781" w:rsidRPr="00FC35C5" w:rsidRDefault="00957781" w:rsidP="00957781">
      <w:pPr>
        <w:pStyle w:val="Heading2"/>
        <w:numPr>
          <w:ilvl w:val="0"/>
          <w:numId w:val="0"/>
        </w:numPr>
        <w:ind w:left="567"/>
      </w:pPr>
    </w:p>
    <w:p w:rsidR="0042223E" w:rsidRPr="00FC35C5" w:rsidRDefault="00957781" w:rsidP="0012584B">
      <w:pPr>
        <w:pStyle w:val="Heading2"/>
      </w:pPr>
      <w:r>
        <w:t>Komisijas paziņojums ir ārkārtīgi tehnisks un tajā nav aplūkots viens aspekts: digitalizācijas procesa dēļ ES finanšu nozare saskaras ar vērienīgu pārveides procesu. Tas iet roku rokā ar tālejošiem pārstrukturēšanas procesiem, vietējo filiāļu slēgšanu, izmaiņām darbinieku profesionālajā kvalifikācijā un pilnīgi jaunām darba formām. Šīs būtiskās izmaiņas nedrīkst ignorēt. Tās ir liels izaicinājums finanšu nozares pakalpojumu sniedzējiem un, protams, arī darbiniekiem. EESK atbalsta sociālo dialogu, lai pievērstos jomām, kurās notiek pārveide.</w:t>
      </w:r>
    </w:p>
    <w:p w:rsidR="009A7434" w:rsidRPr="00FC35C5" w:rsidRDefault="009A7434" w:rsidP="009A7434"/>
    <w:p w:rsidR="0042223E" w:rsidRPr="00FC35C5" w:rsidRDefault="008D1CCD" w:rsidP="0042223E">
      <w:pPr>
        <w:pStyle w:val="Heading2"/>
      </w:pPr>
      <w:r>
        <w:lastRenderedPageBreak/>
        <w:t>Komisija norāda, ka labi funkcionējošs digitālo finanšu pakalpojumu vienotais tirgus palīdzēs uzlabot finanšu pakalpojumu pieejamību patērētājiem un privātiem ieguldītājiem Eiropas Savienībā. EESK atbalsta šo Komisijas pieeju. Lai mazinātu finanšu pakalpojumu vienotā digitālā tirgus sadrumstalotību, ir svarīgi ļaut tirgiem attīstīties.</w:t>
      </w:r>
    </w:p>
    <w:p w:rsidR="0042223E" w:rsidRPr="00FC35C5" w:rsidRDefault="0042223E" w:rsidP="0042223E">
      <w:pPr>
        <w:pStyle w:val="Heading2"/>
        <w:numPr>
          <w:ilvl w:val="0"/>
          <w:numId w:val="0"/>
        </w:numPr>
        <w:ind w:left="567"/>
      </w:pPr>
    </w:p>
    <w:p w:rsidR="00E905FC" w:rsidRPr="00FC35C5" w:rsidRDefault="00E905FC" w:rsidP="00E905FC">
      <w:pPr>
        <w:pStyle w:val="Heading2"/>
      </w:pPr>
      <w:r>
        <w:t>Komisija norāda uz vajadzību aplūkot iespēju izveidot ES digitālās finanšu darbības platformu. EESK tam piekrīt un iesaka šajā procesā iesaistīt arī sociālos partnerus un pilsoniskās sabiedrības pārstāvjus.</w:t>
      </w:r>
    </w:p>
    <w:p w:rsidR="00E905FC" w:rsidRPr="00FC35C5" w:rsidRDefault="00E905FC" w:rsidP="00E905FC"/>
    <w:p w:rsidR="0042223E" w:rsidRPr="00FC35C5" w:rsidRDefault="008D1CCD" w:rsidP="0042223E">
      <w:pPr>
        <w:pStyle w:val="Heading2"/>
      </w:pPr>
      <w:r>
        <w:t>Praktiskā pieredze liecina, ka digitālo finanšu pakalpojumu vienotais tirgus darbosies tikai tad, ja jauniem klientiem tiks dota iespēja ātri un viegli piekļūt finanšu pakalpojumiem (tā dēvētā “</w:t>
      </w:r>
      <w:r>
        <w:noBreakHyphen/>
        <w:t>piesaistīšana”). EESK norāda uz būtisku problēmu Komisijas minētajās jomās.</w:t>
      </w:r>
    </w:p>
    <w:p w:rsidR="0042223E" w:rsidRPr="00FC35C5" w:rsidRDefault="0042223E" w:rsidP="0042223E">
      <w:pPr>
        <w:pStyle w:val="Heading2"/>
        <w:numPr>
          <w:ilvl w:val="0"/>
          <w:numId w:val="0"/>
        </w:numPr>
        <w:ind w:left="567"/>
      </w:pPr>
    </w:p>
    <w:p w:rsidR="00407C5A" w:rsidRDefault="0042223E" w:rsidP="00407C5A">
      <w:pPr>
        <w:pStyle w:val="Heading2"/>
      </w:pPr>
      <w:r>
        <w:t>Dalībvalstu nelikumīgi iegūtu līdzekļu legalizēšanas novēršanas noteikumu sadrumstalotība būtiski apgrūtina digitālās identitātes pārrobežu izmantošanu vai pat padara to neiespējamu. Klientu identifikācijas noteikumi būtu jāsaskaņo visā ES. Tādēļ EESK iesaka nodrošināt digitālās identitātes juridisko sadarbspēju Eiropas mērogā.</w:t>
      </w:r>
    </w:p>
    <w:p w:rsidR="00407C5A" w:rsidRPr="00407C5A" w:rsidRDefault="00407C5A" w:rsidP="00407C5A"/>
    <w:p w:rsidR="00CC743D" w:rsidRDefault="00CC743D" w:rsidP="00796EA0">
      <w:pPr>
        <w:pStyle w:val="Heading2"/>
      </w:pPr>
      <w:r>
        <w:t>Izstrādājot ES digitālā finansējuma stratēģiju, nevar aizmirst jautājumu par iedzīvotāju drošību. Stratēģijā būtu jāiekļauj ieteikums dalībvalstīm līdztekus stratēģijas īstenošanai ieviest juridiskus un organizatoriskus pasākumus, lai cīnītos pret identitātes zādzību. Līdz ar digitālo pakalpojumu un produktu attīstību šī problēma kļūst arvien izplatītāka, un, ja netiks veikti nekādi pasākumi, tas var kavēt stratēģijas īstenošanu.</w:t>
      </w:r>
    </w:p>
    <w:p w:rsidR="001F2261" w:rsidRPr="00FC35C5" w:rsidRDefault="001F2261" w:rsidP="001F2261">
      <w:pPr>
        <w:pStyle w:val="Heading2"/>
        <w:numPr>
          <w:ilvl w:val="0"/>
          <w:numId w:val="0"/>
        </w:numPr>
        <w:ind w:left="567"/>
      </w:pPr>
    </w:p>
    <w:p w:rsidR="001F2261" w:rsidRPr="00FC35C5" w:rsidRDefault="008D1CCD" w:rsidP="00D94CAF">
      <w:pPr>
        <w:pStyle w:val="Heading2"/>
      </w:pPr>
      <w:r>
        <w:t>EESK atbalsta Komisijas priekšlikumus izveidot inovācijām labvēlīgu un konkurētspējīgu finanšu tirgiem paredzētu regulējumu, kas nāktu par labu gan patērētājiem, gan nozarei. Taču šajā procesā ir jānodrošina, ka uzraudzības prakses un ES tiesību akti arī turpmāk ir balstīti uz tehnoloģiskās neitralitātes pamatprincipu un nodrošina spēkā esošo dokumentu sagatavošanas prasību pārskatīšanu.</w:t>
      </w:r>
    </w:p>
    <w:p w:rsidR="00D63BD8" w:rsidRPr="00FC35C5" w:rsidRDefault="00D63BD8" w:rsidP="00D63BD8"/>
    <w:p w:rsidR="00D94CAF" w:rsidRPr="00FC35C5" w:rsidRDefault="005315EE" w:rsidP="00D94CAF">
      <w:pPr>
        <w:pStyle w:val="Heading2"/>
      </w:pPr>
      <w:r>
        <w:t xml:space="preserve">Taču digitālajā tirgū daži finanšu tehnoloģiju uzņēmumi piedāvā pakalpojumus finanšu uzņēmumiem, savukārt citi ar tiem konkurē. EESK uzskata, ka Komisijai vajadzētu ņemt vērā šos apsvērumus, izstrādājot jaunus noteikumus. Tādēļ EESK iesaka jaunajos noteikumos nodrošināt atbalstu partnerībām starp esošajām finanšu iestādēm un finanšu tehnoloģiju nozari. Lai gan ir skaidrs, ka bankas ir vissvarīgākās iestādes, tiesību aktos būtu jāizvairās no vienkārši pārkopētām prasībām, kuras var nebūt piemērotas visiem finanšu pakalpojumu veidiem. Būtu jānošķir patērētājiem paredzēti produkti, kurus var uzskatīt par precēm, un sarežģītāki produkti, kuru gadījumā būtiski svarīgs ir to tvērums un pēcpārdošanas pakalpojumi. </w:t>
      </w:r>
    </w:p>
    <w:p w:rsidR="003A70A1" w:rsidRPr="00FC35C5" w:rsidRDefault="003A70A1" w:rsidP="005A66B6"/>
    <w:p w:rsidR="00D94CAF" w:rsidRPr="00FC35C5" w:rsidRDefault="00D94CAF" w:rsidP="00D94CAF">
      <w:pPr>
        <w:pStyle w:val="Heading2"/>
      </w:pPr>
      <w:r>
        <w:t>EESK uzskata, ka ir jāpaplašina datu kopīgošana ārpus finanšu nozares, un atgādina Komisijai par EESK ieteikumu</w:t>
      </w:r>
      <w:r w:rsidRPr="00FC35C5">
        <w:rPr>
          <w:rStyle w:val="FootnoteReference"/>
        </w:rPr>
        <w:footnoteReference w:id="6"/>
      </w:r>
      <w:r>
        <w:t xml:space="preserve"> attiecībā uz Komisijas paziņojumu par Eiropas Datu stratēģiju, kurā EESK atzinīgi vērtēja Komisijas priekšlikumu Datu stratēģijai, kurā noteikts, ka prioritāte ir starpnozaru datu kopīgošana, un ar ko uzlabo datu izmantošanu, kopīgošanu, piekļuvi tiem un pārvaldību ar leģislatīvu, nozarei specifisku darbību, un uzsvēra, ka šāda sistēma būtu jāveido, </w:t>
      </w:r>
      <w:r>
        <w:lastRenderedPageBreak/>
        <w:t>apvienojot augstus datu aizsardzības standartus, starpnozaru un atbildīgu datu kopīgošanu, skaidrus kritērijus konkrētu nozaru pārvaldībai un datu kvalitātei un datu lielāku kontroli no privātpersonu puses. Ir svarīgi nodrošināt, ka dati, kurus savācis lielo tehnoloģiju uzņēmumu grupas meitasuzņēmums, kas nodrošina maksājumu veikšanu, netiek sniegti mātesuzņēmumam vai apvienoti ar mātesuzņēmuma rīcībā esošajiem datiem. Lai šis princips darbotos, ir jāizveido ugunsmūris starp meitasuzņēmumu, kas nodrošina maksājumu veikšanu, un mātesuzņēmumu.</w:t>
      </w:r>
    </w:p>
    <w:p w:rsidR="001F2261" w:rsidRPr="00FC35C5" w:rsidRDefault="001F2261" w:rsidP="005A66B6">
      <w:pPr>
        <w:pStyle w:val="Heading2"/>
        <w:numPr>
          <w:ilvl w:val="0"/>
          <w:numId w:val="0"/>
        </w:numPr>
        <w:ind w:left="567"/>
      </w:pPr>
    </w:p>
    <w:p w:rsidR="001F2261" w:rsidRPr="00FC35C5" w:rsidRDefault="008D1CCD" w:rsidP="001F2261">
      <w:pPr>
        <w:pStyle w:val="Heading2"/>
      </w:pPr>
      <w:r>
        <w:t>EESK uzskata, ka ar digitālo pārveidi saistīto problēmu un risku novēršanā tehnoloģiju nodrošinātāju darbības regulējumam, patērētāju aizsardzībai, piekļuves finanšu pakalpojumiem nodrošināšanai, darbības noturībai un tīklu un informācijas sistēmu drošībai ir būtiska nozīme finanšu pakalpojumu vienotā digitālā tirgus izveidei.</w:t>
      </w:r>
    </w:p>
    <w:p w:rsidR="008938B5" w:rsidRPr="00FC35C5" w:rsidRDefault="008938B5" w:rsidP="008938B5"/>
    <w:p w:rsidR="008938B5" w:rsidRPr="00796EA0" w:rsidRDefault="008938B5">
      <w:pPr>
        <w:pStyle w:val="Heading2"/>
        <w:rPr>
          <w:rFonts w:eastAsiaTheme="minorHAnsi"/>
        </w:rPr>
      </w:pPr>
      <w:r>
        <w:t>Attiecībā uz kiberdrošību EESK norāda, ka lielākā daļa Eiropas sistēmiskas nozīmes finanšu institūciju izmanto finanšu tehnoloģiju pakalpojumus, kurus piedāvā sabriedrības ārpus ES. Komisijas ierosinātā likumdošanas iniciatīva digitālās darbības noturības jomā (</w:t>
      </w:r>
      <w:r>
        <w:rPr>
          <w:i/>
        </w:rPr>
        <w:t>DORA</w:t>
      </w:r>
      <w:r>
        <w:t>)</w:t>
      </w:r>
      <w:r w:rsidR="00D94CAF" w:rsidRPr="005B08BA">
        <w:rPr>
          <w:rStyle w:val="FootnoteReference"/>
          <w:sz w:val="22"/>
        </w:rPr>
        <w:footnoteReference w:id="7"/>
      </w:r>
      <w:r>
        <w:t xml:space="preserve"> dažās situācijās var izrādīties nepietiekama, tāpēc EESK atzinīgi vērtē </w:t>
      </w:r>
      <w:r>
        <w:rPr>
          <w:i/>
        </w:rPr>
        <w:t>GAIA-X</w:t>
      </w:r>
      <w:r>
        <w:t xml:space="preserve"> projektu, kura mērķis ir novērst ASV un Ķīnas dominējošo stāvokli mākoņpakalpojumu jomā. Šajā projektā ir iesaistīta arī Eiropas Komisija, un tā mērķis ir nodrošināt ES datu suverenitāti un datu pārvaldību, izmantojot ES bāzētu mākoņdatošanas tīklu. Tā kā aizvien vairāk paļaujamies uz digitālajiem pakalpojumiem, ES ieinteresēto personu interesēs ir panākt neatkarību no ārējiem mākoņpakalpojumu sniedzējiem, un pašai ES ir jāstiprina sava ekonomiskā un politiskā suverenitāte. Eiropas mākoņdatošanas tīkls arī atvieglotu datu plūsmas starp dalībvalstīm. </w:t>
      </w:r>
    </w:p>
    <w:p w:rsidR="001F2261" w:rsidRPr="00FC35C5" w:rsidRDefault="001F2261" w:rsidP="001F2261">
      <w:pPr>
        <w:pStyle w:val="Heading2"/>
        <w:numPr>
          <w:ilvl w:val="0"/>
          <w:numId w:val="0"/>
        </w:numPr>
        <w:ind w:left="567"/>
      </w:pPr>
    </w:p>
    <w:p w:rsidR="001F2261" w:rsidRPr="00FC35C5" w:rsidRDefault="001F2261" w:rsidP="001F2261">
      <w:pPr>
        <w:pStyle w:val="Heading2"/>
      </w:pPr>
      <w:r>
        <w:t>Komisijas apņemšanās ievērot principu “vienāda darbība, vienāds risks, vienādi noteikumi” ir būtiski svarīga un nozīmīga jauno problēmu risināšanā, tostarp vienādas uzraudzības nodrošināšanā. Ņemot vērā lielo tehnoloģiju uzņēmumu, platformu un tehnoloģiju uzņēmumu pieaugošo ietekmi un tehnoloģiju uzņēmumu lietderīgās darbības finanšu nozarē, EESK uzskata, ka īpaši svarīgi ir radīt vienlīdzīgus konkurences apstākļus visiem tirgus dalībniekiem šajā jomā.</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Komisija apsver iespēju izstrādāt stratēģiju atbalsta sniegšanai un ieguldījumiem vispārējā finanšu izglītībā, galveno uzmanību pievēršot digitalizācijai. Tā var palīdzēt palielināt digitālo pakalpojumu pieejamību un uzlabot patērētāju aizsardzību neatkarīgi no viņu vecuma, dzimuma vai nodarbinātības statusa. EESK mudina Komisiju turpināt doties šajā virzienā.</w:t>
      </w:r>
    </w:p>
    <w:p w:rsidR="00E5447A" w:rsidRDefault="00E5447A" w:rsidP="00690D84">
      <w:pPr>
        <w:keepNext/>
      </w:pPr>
    </w:p>
    <w:p w:rsidR="00E5447A" w:rsidRDefault="00E5447A" w:rsidP="00690D84">
      <w:pPr>
        <w:keepNext/>
      </w:pPr>
      <w:r>
        <w:t>Briselē, 2021. gada 24. februārī</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rPr>
          <w:i/>
          <w:iCs/>
        </w:rPr>
        <w:t>Christa Schweng</w:t>
      </w:r>
    </w:p>
    <w:p w:rsidR="00E5447A" w:rsidRPr="00FC35C5" w:rsidRDefault="00E5447A" w:rsidP="00690D84">
      <w:pPr>
        <w:keepNext/>
      </w:pPr>
      <w:r>
        <w:t xml:space="preserve">Eiropas Ekonomikas un sociālo lietu komitejas priekšsēdētāja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182E6B">
      <w:rPr>
        <w:noProof/>
      </w:rPr>
      <w:t>1</w:t>
    </w:r>
    <w:r>
      <w:fldChar w:fldCharType="end"/>
    </w:r>
    <w:r>
      <w:t>/</w:t>
    </w:r>
    <w:fldSimple w:instr=" NUMPAGES ">
      <w:r w:rsidR="00182E6B">
        <w:rPr>
          <w:noProof/>
        </w:rPr>
        <w:t>6</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182E6B">
      <w:rPr>
        <w:noProof/>
      </w:rPr>
      <w:t>2</w:t>
    </w:r>
    <w:r>
      <w:fldChar w:fldCharType="end"/>
    </w:r>
    <w:r>
      <w:t>/</w:t>
    </w:r>
    <w:fldSimple w:instr=" NUMPAGES ">
      <w:r w:rsidR="00182E6B">
        <w:rPr>
          <w:noProof/>
        </w:rPr>
        <w:t>6</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t>.</w:t>
      </w:r>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un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OV C 429, 11.12.2020., 290. lpp.</w:t>
        </w:r>
      </w:hyperlink>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Sk. arī attiecīgo EESK </w:t>
      </w:r>
      <w:hyperlink r:id="rId9" w:history="1">
        <w:r>
          <w:rPr>
            <w:rStyle w:val="Hyperlink"/>
          </w:rPr>
          <w:t>atzinumu par digitālās darbības noturību (ECO/536)</w:t>
        </w:r>
      </w:hyperlink>
      <w:r>
        <w:t>. Vēl nav publicēts.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1747BCC"/>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2E6B"/>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B64"/>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3B0E5F99"/>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v-LV"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outlineLvl w:val="0"/>
    </w:pPr>
    <w:rPr>
      <w:kern w:val="28"/>
    </w:rPr>
  </w:style>
  <w:style w:type="paragraph" w:styleId="Heading2">
    <w:name w:val="heading 2"/>
    <w:basedOn w:val="Normal"/>
    <w:next w:val="Normal"/>
    <w:link w:val="Heading2Char"/>
    <w:qFormat/>
    <w:rsid w:val="007E50BF"/>
    <w:pPr>
      <w:numPr>
        <w:ilvl w:val="1"/>
        <w:numId w:val="1"/>
      </w:numPr>
      <w:outlineLvl w:val="1"/>
    </w:pPr>
  </w:style>
  <w:style w:type="paragraph" w:styleId="Heading3">
    <w:name w:val="heading 3"/>
    <w:basedOn w:val="Normal"/>
    <w:next w:val="Normal"/>
    <w:link w:val="Heading3Char"/>
    <w:qFormat/>
    <w:rsid w:val="007E50BF"/>
    <w:pPr>
      <w:numPr>
        <w:ilvl w:val="2"/>
        <w:numId w:val="1"/>
      </w:numPr>
      <w:outlineLvl w:val="2"/>
    </w:pPr>
  </w:style>
  <w:style w:type="paragraph" w:styleId="Heading4">
    <w:name w:val="heading 4"/>
    <w:basedOn w:val="Normal"/>
    <w:next w:val="Normal"/>
    <w:link w:val="Heading4Char"/>
    <w:qFormat/>
    <w:rsid w:val="007E50BF"/>
    <w:pPr>
      <w:numPr>
        <w:ilvl w:val="3"/>
        <w:numId w:val="1"/>
      </w:numPr>
      <w:outlineLvl w:val="3"/>
    </w:pPr>
  </w:style>
  <w:style w:type="paragraph" w:styleId="Heading5">
    <w:name w:val="heading 5"/>
    <w:basedOn w:val="Normal"/>
    <w:next w:val="Normal"/>
    <w:link w:val="Heading5Char"/>
    <w:qFormat/>
    <w:rsid w:val="007E50BF"/>
    <w:pPr>
      <w:numPr>
        <w:ilvl w:val="4"/>
        <w:numId w:val="1"/>
      </w:numPr>
      <w:outlineLvl w:val="4"/>
    </w:pPr>
  </w:style>
  <w:style w:type="paragraph" w:styleId="Heading6">
    <w:name w:val="heading 6"/>
    <w:basedOn w:val="Normal"/>
    <w:next w:val="Normal"/>
    <w:link w:val="Heading6Char"/>
    <w:qFormat/>
    <w:rsid w:val="007E50BF"/>
    <w:pPr>
      <w:numPr>
        <w:ilvl w:val="5"/>
        <w:numId w:val="1"/>
      </w:numPr>
      <w:outlineLvl w:val="5"/>
    </w:pPr>
  </w:style>
  <w:style w:type="paragraph" w:styleId="Heading7">
    <w:name w:val="heading 7"/>
    <w:basedOn w:val="Normal"/>
    <w:next w:val="Normal"/>
    <w:link w:val="Heading7Char"/>
    <w:qFormat/>
    <w:rsid w:val="007E50BF"/>
    <w:pPr>
      <w:numPr>
        <w:ilvl w:val="6"/>
        <w:numId w:val="1"/>
      </w:numPr>
      <w:outlineLvl w:val="6"/>
    </w:pPr>
  </w:style>
  <w:style w:type="paragraph" w:styleId="Heading8">
    <w:name w:val="heading 8"/>
    <w:basedOn w:val="Normal"/>
    <w:next w:val="Normal"/>
    <w:link w:val="Heading8Char"/>
    <w:qFormat/>
    <w:rsid w:val="007E50BF"/>
    <w:pPr>
      <w:numPr>
        <w:ilvl w:val="7"/>
        <w:numId w:val="1"/>
      </w:numPr>
      <w:outlineLvl w:val="7"/>
    </w:pPr>
  </w:style>
  <w:style w:type="paragraph" w:styleId="Heading9">
    <w:name w:val="heading 9"/>
    <w:basedOn w:val="Normal"/>
    <w:next w:val="Normal"/>
    <w:link w:val="Heading9Char"/>
    <w:qFormat/>
    <w:rsid w:val="007E50BF"/>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lv-LV" w:eastAsia="en-US" w:bidi="ar-SA"/>
    </w:rPr>
  </w:style>
  <w:style w:type="character" w:customStyle="1" w:styleId="Heading2Char">
    <w:name w:val="Heading 2 Char"/>
    <w:basedOn w:val="DefaultParagraphFont"/>
    <w:link w:val="Heading2"/>
    <w:locked/>
    <w:rsid w:val="00CB1536"/>
    <w:rPr>
      <w:lang w:val="lv-LV" w:eastAsia="en-US" w:bidi="ar-SA"/>
    </w:rPr>
  </w:style>
  <w:style w:type="character" w:customStyle="1" w:styleId="Heading3Char">
    <w:name w:val="Heading 3 Char"/>
    <w:basedOn w:val="DefaultParagraphFont"/>
    <w:link w:val="Heading3"/>
    <w:locked/>
    <w:rsid w:val="00CB1536"/>
    <w:rPr>
      <w:lang w:val="lv-LV" w:eastAsia="en-US" w:bidi="ar-SA"/>
    </w:rPr>
  </w:style>
  <w:style w:type="character" w:customStyle="1" w:styleId="Heading4Char">
    <w:name w:val="Heading 4 Char"/>
    <w:basedOn w:val="DefaultParagraphFont"/>
    <w:link w:val="Heading4"/>
    <w:locked/>
    <w:rsid w:val="00CB1536"/>
    <w:rPr>
      <w:lang w:val="lv-LV" w:eastAsia="en-US" w:bidi="ar-SA"/>
    </w:rPr>
  </w:style>
  <w:style w:type="character" w:customStyle="1" w:styleId="Heading5Char">
    <w:name w:val="Heading 5 Char"/>
    <w:basedOn w:val="DefaultParagraphFont"/>
    <w:link w:val="Heading5"/>
    <w:locked/>
    <w:rsid w:val="00CB1536"/>
    <w:rPr>
      <w:lang w:val="lv-LV" w:eastAsia="en-US" w:bidi="ar-SA"/>
    </w:rPr>
  </w:style>
  <w:style w:type="character" w:customStyle="1" w:styleId="Heading6Char">
    <w:name w:val="Heading 6 Char"/>
    <w:basedOn w:val="DefaultParagraphFont"/>
    <w:link w:val="Heading6"/>
    <w:locked/>
    <w:rsid w:val="00CB1536"/>
    <w:rPr>
      <w:lang w:val="lv-LV" w:eastAsia="en-US" w:bidi="ar-SA"/>
    </w:rPr>
  </w:style>
  <w:style w:type="character" w:customStyle="1" w:styleId="Heading7Char">
    <w:name w:val="Heading 7 Char"/>
    <w:basedOn w:val="DefaultParagraphFont"/>
    <w:link w:val="Heading7"/>
    <w:locked/>
    <w:rsid w:val="00CB1536"/>
    <w:rPr>
      <w:lang w:val="lv-LV" w:eastAsia="en-US" w:bidi="ar-SA"/>
    </w:rPr>
  </w:style>
  <w:style w:type="character" w:customStyle="1" w:styleId="Heading8Char">
    <w:name w:val="Heading 8 Char"/>
    <w:basedOn w:val="DefaultParagraphFont"/>
    <w:link w:val="Heading8"/>
    <w:locked/>
    <w:rsid w:val="00CB1536"/>
    <w:rPr>
      <w:lang w:val="lv-LV" w:eastAsia="en-US" w:bidi="ar-SA"/>
    </w:rPr>
  </w:style>
  <w:style w:type="character" w:customStyle="1" w:styleId="Heading9Char">
    <w:name w:val="Heading 9 Char"/>
    <w:basedOn w:val="DefaultParagraphFont"/>
    <w:link w:val="Heading9"/>
    <w:locked/>
    <w:rsid w:val="00CB1536"/>
    <w:rPr>
      <w:lang w:val="lv-LV"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lv-LV"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lv-LV"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V/TXT/?uri=CELEX:52020PC0595&amp;qid=1605625322451" TargetMode="External"/><Relationship Id="rId3" Type="http://schemas.openxmlformats.org/officeDocument/2006/relationships/hyperlink" Target="https://eur-lex.europa.eu/legal-content/LV/TXT/?uri=CELEX:52020PC0593&amp;qid=1605625281051" TargetMode="External"/><Relationship Id="rId7" Type="http://schemas.openxmlformats.org/officeDocument/2006/relationships/hyperlink" Target="https://eur-lex.europa.eu/legal-content/LV/TXT/?uri=CELEX:52020AE1042&amp;qid=1601415540830" TargetMode="External"/><Relationship Id="rId2" Type="http://schemas.openxmlformats.org/officeDocument/2006/relationships/hyperlink" Target="https://eur-lex.europa.eu/legal-content/LV/TXT/?uri=COM:2020:0592:FIN" TargetMode="External"/><Relationship Id="rId1" Type="http://schemas.openxmlformats.org/officeDocument/2006/relationships/hyperlink" Target="https://eur-lex.europa.eu/legal-content/LV/TXT/?uri=CELEX:52020DC0591" TargetMode="External"/><Relationship Id="rId6" Type="http://schemas.openxmlformats.org/officeDocument/2006/relationships/hyperlink" Target="https://eur-lex.europa.eu/legal-content/LV/TXT/?uri=CELEX:52020PC0596&amp;qid=1605625359281" TargetMode="External"/><Relationship Id="rId5" Type="http://schemas.openxmlformats.org/officeDocument/2006/relationships/hyperlink" Target="https://eur-lex.europa.eu/legal-content/LV/TXT/?uri=CELEX:52020PC0595&amp;qid=1605625322451" TargetMode="External"/><Relationship Id="rId4" Type="http://schemas.openxmlformats.org/officeDocument/2006/relationships/hyperlink" Target="https://eur-lex.europa.eu/legal-content/LV/TXT/?uri=CELEX:52020PC0594" TargetMode="External"/><Relationship Id="rId9" Type="http://schemas.openxmlformats.org/officeDocument/2006/relationships/hyperlink" Target="https://www.eesc.europa.eu/en/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VV634QRNENMJ-592872750-7311</_dlc_DocId>
    <_dlc_DocIdUrl xmlns="cda99570-6012-4083-bfeb-7d32ad1ce1a3">
      <Url>http://dm2016/eesc/2020/_layouts/15/DocIdRedir.aspx?ID=VV634QRNENMJ-592872750-7311</Url>
      <Description>VV634QRNENMJ-592872750-7311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6D077F1-D518-4D94-AEAE-BEFF5CC8FA0B}"/>
</file>

<file path=customXml/itemProps2.xml><?xml version="1.0" encoding="utf-8"?>
<ds:datastoreItem xmlns:ds="http://schemas.openxmlformats.org/officeDocument/2006/customXml" ds:itemID="{3209FAAA-777D-4CE5-AE4B-315E41B6082A}"/>
</file>

<file path=customXml/itemProps3.xml><?xml version="1.0" encoding="utf-8"?>
<ds:datastoreItem xmlns:ds="http://schemas.openxmlformats.org/officeDocument/2006/customXml" ds:itemID="{CC19E5D3-093F-43A4-A8BE-2A306BC71680}"/>
</file>

<file path=customXml/itemProps4.xml><?xml version="1.0" encoding="utf-8"?>
<ds:datastoreItem xmlns:ds="http://schemas.openxmlformats.org/officeDocument/2006/customXml" ds:itemID="{DCD30693-479A-40CF-8000-C4BA87EB7CDA}"/>
</file>

<file path=docProps/app.xml><?xml version="1.0" encoding="utf-8"?>
<Properties xmlns="http://schemas.openxmlformats.org/officeDocument/2006/extended-properties" xmlns:vt="http://schemas.openxmlformats.org/officeDocument/2006/docPropsVTypes">
  <Template>Styles</Template>
  <TotalTime>2</TotalTime>
  <Pages>6</Pages>
  <Words>1785</Words>
  <Characters>10175</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Digitālā finansējuma stratēģija</dc:title>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Erlate Jolanta</cp:lastModifiedBy>
  <cp:revision>6</cp:revision>
  <cp:lastPrinted>2016-01-26T08:31:00Z</cp:lastPrinted>
  <dcterms:created xsi:type="dcterms:W3CDTF">2021-03-01T07:31:00Z</dcterms:created>
  <dcterms:modified xsi:type="dcterms:W3CDTF">2021-03-02T08:06:00Z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5ee48e7b-7444-4eae-a614-a1d8b0d67b2f</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DA|5d49c027-8956-412b-aa16-e85a0f96ad0e;EN|f2175f21-25d7-44a3-96da-d6a61b075e1b;DE|f6b31e5a-26fa-4935-b661-318e46daf27e;MT|7df99101-6854-4a26-b53a-b88c0da02c26;PL|1e03da61-4678-4e07-b136-b5024ca9197b;CS|72f9705b-0217-4fd3-bea2-cbc7ed80e26e;PT|50ccc04a-eadd-42ae-a0cb-acaf45f812ba;ES|e7a6b05b-ae16-40c8-add9-68b64b03aeba;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31;#CS|72f9705b-0217-4fd3-bea2-cbc7ed80e26e;#29;#PT|50ccc04a-eadd-42ae-a0cb-acaf45f812ba;#80;#ECO|8df351f5-c957-404c-8cf3-8ffb22c9cba2;#16;#ES|e7a6b05b-ae16-40c8-add9-68b64b03aeba;#46;#SK|46d9fce0-ef79-4f71-b89b-cd6aa82426b8;#10;#DE|f6b31e5a-26fa-4935-b661-318e46daf27e;#9;#PL|1e03da61-4678-4e07-b136-b5024ca9197b;#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24;#LV|46f7e311-5d9f-4663-b433-18aeccb7ace7</vt:lpwstr>
  </property>
</Properties>
</file>