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C2" w:rsidRPr="00FC35C5" w:rsidRDefault="00F61F92" w:rsidP="008C74D9">
      <w:pPr>
        <w:jc w:val="center"/>
      </w:pPr>
      <w:r>
        <w:rPr>
          <w:noProof/>
          <w:lang w:eastAsia="pt-PT"/>
        </w:rPr>
        <w:drawing>
          <wp:inline distT="0" distB="0" distL="0" distR="0">
            <wp:extent cx="1792605" cy="1239520"/>
            <wp:effectExtent l="0" t="0" r="0" b="0"/>
            <wp:docPr id="1" name="Picture 1" title="EESCLogo_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4D9">
        <w:rPr>
          <w:noProof/>
          <w:sz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31133D6" wp14:editId="15FE452D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DB1" w:rsidRPr="00260E65" w:rsidRDefault="002C1D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33D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2C1DB1" w:rsidRPr="00260E65" w:rsidRDefault="002C1D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PT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74D9" w:rsidRPr="00FC35C5" w:rsidRDefault="008C74D9" w:rsidP="0015678B"/>
    <w:p w:rsidR="00646AC2" w:rsidRPr="00FC35C5" w:rsidRDefault="00AA5798" w:rsidP="0015678B">
      <w:pPr>
        <w:jc w:val="right"/>
      </w:pPr>
      <w:r>
        <w:rPr>
          <w:b/>
        </w:rPr>
        <w:t>ECO/534</w:t>
      </w:r>
    </w:p>
    <w:p w:rsidR="00563C84" w:rsidRPr="00FC35C5" w:rsidRDefault="00AA5798" w:rsidP="0015678B">
      <w:pPr>
        <w:jc w:val="right"/>
      </w:pPr>
      <w:r>
        <w:rPr>
          <w:b/>
        </w:rPr>
        <w:t>Estratégia em matéria de Financiamento Digital</w:t>
      </w:r>
    </w:p>
    <w:p w:rsidR="009B30AA" w:rsidRPr="00FC35C5" w:rsidRDefault="009B30AA" w:rsidP="0015678B"/>
    <w:p w:rsidR="009B30AA" w:rsidRPr="00FC35C5" w:rsidRDefault="009B30AA" w:rsidP="0015678B"/>
    <w:p w:rsidR="00646AC2" w:rsidRPr="00FC35C5" w:rsidRDefault="00804B96" w:rsidP="0015678B">
      <w:pPr>
        <w:jc w:val="center"/>
      </w:pPr>
      <w:r>
        <w:rPr>
          <w:b/>
          <w:sz w:val="28"/>
        </w:rPr>
        <w:t>PARECER</w:t>
      </w:r>
      <w:r>
        <w:br/>
      </w:r>
      <w:r>
        <w:br/>
        <w:t>Comité Económico e Social Europeu</w:t>
      </w:r>
      <w:r>
        <w:br/>
      </w:r>
      <w:r>
        <w:br/>
      </w:r>
      <w:r>
        <w:rPr>
          <w:b/>
        </w:rPr>
        <w:t>Comunicação da Comissão ao Parlamento Europeu, ao Conselho, ao Comité Económico e Social Europeu e ao Comité das Regiões sobre uma Estratégia em matéria de Financiamento Digital para a UE</w:t>
      </w:r>
      <w:r>
        <w:br/>
        <w:t>[COM(2020) 591 final]</w:t>
      </w:r>
    </w:p>
    <w:p w:rsidR="009B30AA" w:rsidRPr="00FC35C5" w:rsidRDefault="009B30AA" w:rsidP="0015678B">
      <w:pPr>
        <w:jc w:val="center"/>
      </w:pPr>
    </w:p>
    <w:p w:rsidR="00704FBB" w:rsidRPr="00FC35C5" w:rsidRDefault="007F5E0D" w:rsidP="0015678B">
      <w:pPr>
        <w:jc w:val="center"/>
        <w:rPr>
          <w:b/>
        </w:rPr>
      </w:pPr>
      <w:r>
        <w:t xml:space="preserve">Relator: </w:t>
      </w:r>
      <w:r>
        <w:rPr>
          <w:b/>
        </w:rPr>
        <w:t>Petru Sorin Dandea</w:t>
      </w:r>
    </w:p>
    <w:p w:rsidR="00E97E0E" w:rsidRPr="00FC35C5" w:rsidRDefault="00840F00" w:rsidP="0015678B">
      <w:pPr>
        <w:jc w:val="center"/>
        <w:rPr>
          <w:b/>
        </w:rPr>
      </w:pPr>
      <w:r>
        <w:t xml:space="preserve">Correlator: </w:t>
      </w:r>
      <w:r>
        <w:rPr>
          <w:b/>
        </w:rPr>
        <w:t>Jörg Freiherr Frank von Fürstenwerth</w:t>
      </w:r>
    </w:p>
    <w:p w:rsidR="00E97E0E" w:rsidRDefault="00E97E0E" w:rsidP="0015678B">
      <w:pPr>
        <w:sectPr w:rsidR="00E97E0E" w:rsidSect="009A7239">
          <w:footerReference w:type="default" r:id="rId8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5"/>
        <w:gridCol w:w="6018"/>
      </w:tblGrid>
      <w:tr w:rsidR="0011656A" w:rsidRPr="00FC35C5" w:rsidTr="00E670BD">
        <w:tc>
          <w:tcPr>
            <w:tcW w:w="3055" w:type="dxa"/>
          </w:tcPr>
          <w:p w:rsidR="0011656A" w:rsidRPr="00FC35C5" w:rsidRDefault="004A5738" w:rsidP="004A5738">
            <w:pPr>
              <w:jc w:val="left"/>
            </w:pPr>
            <w:r>
              <w:lastRenderedPageBreak/>
              <w:t>Consulta</w:t>
            </w:r>
          </w:p>
        </w:tc>
        <w:tc>
          <w:tcPr>
            <w:tcW w:w="6018" w:type="dxa"/>
          </w:tcPr>
          <w:p w:rsidR="0011656A" w:rsidRPr="00FC35C5" w:rsidRDefault="00222006" w:rsidP="00AE1808">
            <w:pPr>
              <w:jc w:val="left"/>
            </w:pPr>
            <w:r>
              <w:t>Comissão Europeia, 11/11/2020</w:t>
            </w:r>
          </w:p>
        </w:tc>
      </w:tr>
      <w:tr w:rsidR="0016503F" w:rsidRPr="00FC35C5" w:rsidTr="00E670BD">
        <w:trPr>
          <w:trHeight w:val="251"/>
        </w:trPr>
        <w:tc>
          <w:tcPr>
            <w:tcW w:w="3055" w:type="dxa"/>
          </w:tcPr>
          <w:p w:rsidR="0016503F" w:rsidRPr="00FC35C5" w:rsidRDefault="0016503F" w:rsidP="0015678B">
            <w:pPr>
              <w:jc w:val="left"/>
            </w:pPr>
            <w:r>
              <w:t>Base jurídica</w:t>
            </w:r>
          </w:p>
        </w:tc>
        <w:tc>
          <w:tcPr>
            <w:tcW w:w="6018" w:type="dxa"/>
          </w:tcPr>
          <w:p w:rsidR="0016503F" w:rsidRPr="00FC35C5" w:rsidRDefault="0016503F" w:rsidP="0015678B">
            <w:pPr>
              <w:jc w:val="left"/>
            </w:pPr>
            <w:r>
              <w:t>Artigo 304.º do Tratado sobre o Funcionamento da União Europeia</w:t>
            </w:r>
          </w:p>
        </w:tc>
      </w:tr>
      <w:tr w:rsidR="0016503F" w:rsidRPr="00FC35C5" w:rsidTr="00E670BD">
        <w:trPr>
          <w:trHeight w:val="250"/>
        </w:trPr>
        <w:tc>
          <w:tcPr>
            <w:tcW w:w="3055" w:type="dxa"/>
          </w:tcPr>
          <w:p w:rsidR="0016503F" w:rsidRPr="00FC35C5" w:rsidRDefault="0016503F" w:rsidP="0015678B">
            <w:pPr>
              <w:jc w:val="left"/>
            </w:pPr>
          </w:p>
        </w:tc>
        <w:tc>
          <w:tcPr>
            <w:tcW w:w="6018" w:type="dxa"/>
          </w:tcPr>
          <w:p w:rsidR="0016503F" w:rsidRPr="00FC35C5" w:rsidRDefault="0016503F" w:rsidP="0015678B">
            <w:pPr>
              <w:jc w:val="left"/>
            </w:pPr>
          </w:p>
        </w:tc>
      </w:tr>
      <w:tr w:rsidR="00DF5B64" w:rsidRPr="00FC35C5" w:rsidTr="00E670BD">
        <w:tc>
          <w:tcPr>
            <w:tcW w:w="3055" w:type="dxa"/>
          </w:tcPr>
          <w:p w:rsidR="00DF5B64" w:rsidRPr="00FC35C5" w:rsidRDefault="00AD4B4F" w:rsidP="0015678B">
            <w:pPr>
              <w:jc w:val="left"/>
            </w:pPr>
            <w:r>
              <w:t>Competência</w:t>
            </w:r>
          </w:p>
        </w:tc>
        <w:tc>
          <w:tcPr>
            <w:tcW w:w="6018" w:type="dxa"/>
          </w:tcPr>
          <w:p w:rsidR="00DF5B64" w:rsidRPr="00FC35C5" w:rsidRDefault="00AA5798" w:rsidP="0015678B">
            <w:pPr>
              <w:jc w:val="left"/>
            </w:pPr>
            <w:r>
              <w:t>Secção da União Económica e Monetária e Coesão Económica e Social</w:t>
            </w:r>
          </w:p>
        </w:tc>
      </w:tr>
      <w:tr w:rsidR="00A156E6" w:rsidRPr="00FC35C5" w:rsidTr="00E670BD">
        <w:tc>
          <w:tcPr>
            <w:tcW w:w="3055" w:type="dxa"/>
          </w:tcPr>
          <w:p w:rsidR="00A156E6" w:rsidRPr="00FC35C5" w:rsidRDefault="00A156E6" w:rsidP="0015678B">
            <w:pPr>
              <w:jc w:val="left"/>
            </w:pPr>
            <w:r>
              <w:t>Adoção em secção</w:t>
            </w:r>
          </w:p>
        </w:tc>
        <w:tc>
          <w:tcPr>
            <w:tcW w:w="6018" w:type="dxa"/>
          </w:tcPr>
          <w:p w:rsidR="00A156E6" w:rsidRPr="00FC35C5" w:rsidRDefault="00383C10" w:rsidP="0015678B">
            <w:pPr>
              <w:jc w:val="left"/>
            </w:pPr>
            <w:r>
              <w:t>12/02/2021</w:t>
            </w:r>
          </w:p>
        </w:tc>
      </w:tr>
      <w:tr w:rsidR="00A156E6" w:rsidRPr="00FC35C5" w:rsidTr="00E670BD">
        <w:tc>
          <w:tcPr>
            <w:tcW w:w="3055" w:type="dxa"/>
          </w:tcPr>
          <w:p w:rsidR="00A156E6" w:rsidRPr="00FC35C5" w:rsidRDefault="00A156E6" w:rsidP="0015678B">
            <w:pPr>
              <w:jc w:val="left"/>
            </w:pPr>
            <w:r>
              <w:t>Adoção em plenária</w:t>
            </w:r>
          </w:p>
        </w:tc>
        <w:tc>
          <w:tcPr>
            <w:tcW w:w="6018" w:type="dxa"/>
          </w:tcPr>
          <w:p w:rsidR="00A156E6" w:rsidRPr="00FC35C5" w:rsidRDefault="00E97E0E">
            <w:pPr>
              <w:jc w:val="left"/>
            </w:pPr>
            <w:r>
              <w:t>24/02/2021</w:t>
            </w:r>
          </w:p>
        </w:tc>
      </w:tr>
      <w:tr w:rsidR="00BA1290" w:rsidRPr="00FC35C5" w:rsidTr="00E670BD">
        <w:tc>
          <w:tcPr>
            <w:tcW w:w="3055" w:type="dxa"/>
          </w:tcPr>
          <w:p w:rsidR="00BA1290" w:rsidRPr="00FC35C5" w:rsidRDefault="00BA1290" w:rsidP="0015678B">
            <w:pPr>
              <w:jc w:val="left"/>
            </w:pPr>
            <w:r>
              <w:t>Reunião plenária n.º</w:t>
            </w:r>
          </w:p>
        </w:tc>
        <w:tc>
          <w:tcPr>
            <w:tcW w:w="6018" w:type="dxa"/>
          </w:tcPr>
          <w:p w:rsidR="00BA1290" w:rsidRPr="00FC35C5" w:rsidRDefault="00B379C8" w:rsidP="0015678B">
            <w:pPr>
              <w:jc w:val="left"/>
            </w:pPr>
            <w:r>
              <w:t>558</w:t>
            </w:r>
          </w:p>
        </w:tc>
      </w:tr>
      <w:tr w:rsidR="00A156E6" w:rsidRPr="00FC35C5" w:rsidTr="00E670BD">
        <w:tc>
          <w:tcPr>
            <w:tcW w:w="3055" w:type="dxa"/>
          </w:tcPr>
          <w:p w:rsidR="00D423D4" w:rsidRPr="00FC35C5" w:rsidRDefault="0043024C" w:rsidP="0015678B">
            <w:pPr>
              <w:jc w:val="left"/>
            </w:pPr>
            <w:r>
              <w:t>Resultado da votação (votos a favor/votos contra/abstenções)</w:t>
            </w:r>
          </w:p>
        </w:tc>
        <w:tc>
          <w:tcPr>
            <w:tcW w:w="6018" w:type="dxa"/>
            <w:vAlign w:val="bottom"/>
          </w:tcPr>
          <w:p w:rsidR="00A156E6" w:rsidRPr="00FC35C5" w:rsidRDefault="00B379C8" w:rsidP="0015678B">
            <w:pPr>
              <w:jc w:val="left"/>
            </w:pPr>
            <w:r>
              <w:t>237/0/5</w:t>
            </w:r>
          </w:p>
        </w:tc>
      </w:tr>
    </w:tbl>
    <w:p w:rsidR="0090053A" w:rsidRPr="00FC35C5" w:rsidRDefault="0090053A" w:rsidP="0015678B"/>
    <w:p w:rsidR="00646AC2" w:rsidRPr="00FC35C5" w:rsidRDefault="00646AC2" w:rsidP="0015678B">
      <w:r>
        <w:br w:type="page"/>
      </w:r>
    </w:p>
    <w:p w:rsidR="00011D33" w:rsidRPr="00FC35C5" w:rsidRDefault="00011D33" w:rsidP="0015678B">
      <w:pPr>
        <w:pStyle w:val="Heading1"/>
        <w:keepNext/>
        <w:rPr>
          <w:b/>
        </w:rPr>
      </w:pPr>
      <w:r>
        <w:rPr>
          <w:b/>
        </w:rPr>
        <w:lastRenderedPageBreak/>
        <w:t>Conclusões e recomendações</w:t>
      </w:r>
    </w:p>
    <w:p w:rsidR="00011D33" w:rsidRPr="00FC35C5" w:rsidRDefault="00011D33" w:rsidP="0015678B">
      <w:pPr>
        <w:keepNext/>
      </w:pPr>
    </w:p>
    <w:p w:rsidR="00D94CAF" w:rsidRPr="00FC35C5" w:rsidRDefault="00D94CAF" w:rsidP="00D94CAF">
      <w:pPr>
        <w:pStyle w:val="Heading2"/>
      </w:pPr>
      <w:r>
        <w:t>O Comité Económico e Social Europeu (CESE) congratula-se com o pacote Financiamento Digital apresentado pela Comissão e considera que este contém elementos estratégicos, legislativos e não legislativos, destinados a desenvolver o setor.</w:t>
      </w:r>
    </w:p>
    <w:p w:rsidR="00D94CAF" w:rsidRPr="00FC35C5" w:rsidRDefault="00D94CAF" w:rsidP="00D94CAF"/>
    <w:p w:rsidR="00D94CAF" w:rsidRPr="00FC35C5" w:rsidRDefault="00D94CAF" w:rsidP="00D94CAF">
      <w:pPr>
        <w:pStyle w:val="Heading2"/>
      </w:pPr>
      <w:r>
        <w:t>O programa apresentado pela Comissão, com as suas quatro prioridades, cobre essencialmente a quase totalidade dos principais domínios de atividade no âmbito da transformação digital do setor financeiro da UE. O CESE apoia estas abordagens adotadas pela Comissão.</w:t>
      </w:r>
    </w:p>
    <w:p w:rsidR="00D94CAF" w:rsidRPr="00FC35C5" w:rsidRDefault="00D94CAF" w:rsidP="00D94CAF"/>
    <w:p w:rsidR="00D94CAF" w:rsidRPr="00FC35C5" w:rsidRDefault="00D94CAF" w:rsidP="00D94CAF">
      <w:pPr>
        <w:pStyle w:val="Heading2"/>
      </w:pPr>
      <w:r>
        <w:t>A Comissão está no bom caminho ao apoiar-se em intervenientes de mercado europeus fortes para desenvolver os serviços financeiros digitais. No entanto, o CESE considera que não se deve negligenciar o papel específico dos intervenientes especializados, regionais e/ou cooperativos ou mutualistas locais no setor financeiro.</w:t>
      </w:r>
    </w:p>
    <w:p w:rsidR="00D94CAF" w:rsidRPr="00FC35C5" w:rsidRDefault="00D94CAF" w:rsidP="00D94CAF"/>
    <w:p w:rsidR="00D94CAF" w:rsidRPr="00FC35C5" w:rsidRDefault="00FC35C5" w:rsidP="00D94CAF">
      <w:pPr>
        <w:pStyle w:val="Heading2"/>
      </w:pPr>
      <w:r>
        <w:t>Devido à digitalização, o setor financeiro da UE enfrenta um enorme processo de transformação, estreitamente ligado a processos de reestruturação profundos, ao encerramento de sucursais locais, à evolução das qualificações profissionais dos trabalhadores e a formas de trabalho completamente novas. Estas importantes mudanças não podem ser ignoradas, representando um desafio considerável para os prestadores de serviços financeiros e, naturalmente, para os trabalhadores do setor.</w:t>
      </w:r>
    </w:p>
    <w:p w:rsidR="00D94CAF" w:rsidRPr="00FC35C5" w:rsidRDefault="00D94CAF" w:rsidP="00D94CAF"/>
    <w:p w:rsidR="00D94CAF" w:rsidRPr="00FC35C5" w:rsidRDefault="00D94CAF" w:rsidP="00D94CAF">
      <w:pPr>
        <w:pStyle w:val="Heading2"/>
      </w:pPr>
      <w:r>
        <w:t>A Comissão salienta a necessidade de ponderar a criação de uma plataforma da UE para o financiamento digital. O CESE subscreve esta posição e recomenda a inclusão dos parceiros sociais e dos representantes da sociedade civil nesse processo.</w:t>
      </w:r>
    </w:p>
    <w:p w:rsidR="00D94CAF" w:rsidRPr="00FC35C5" w:rsidRDefault="00D94CAF" w:rsidP="00D94CAF"/>
    <w:p w:rsidR="00D94CAF" w:rsidRPr="00FC35C5" w:rsidRDefault="00D94CAF" w:rsidP="00D94CAF">
      <w:pPr>
        <w:pStyle w:val="Heading2"/>
      </w:pPr>
      <w:r>
        <w:t>O CESE considera que, para fazer face aos desafios e riscos associados à transformação digital, a regulamentação dos fornecedores de tecnologia, a proteção dos consumidores, a garantia de acesso aos serviços financeiros, a resiliência operacional e a segurança das redes e dos sistemas de informação constituem elementos cruciais para a criação de um mercado único digital dos serviços financeiros.</w:t>
      </w:r>
    </w:p>
    <w:p w:rsidR="00D94CAF" w:rsidRPr="00FC35C5" w:rsidRDefault="00D94CAF" w:rsidP="00D94CAF"/>
    <w:p w:rsidR="00E23A48" w:rsidRPr="00FC35C5" w:rsidRDefault="00D94CAF" w:rsidP="00E23A48">
      <w:pPr>
        <w:pStyle w:val="Heading2"/>
      </w:pPr>
      <w:r>
        <w:t>No domínio da cibersegurança, o CESE acolhe favoravelmente o projeto GAIA-X, que visa quebrar a posição dominante dos EUA e da China nos serviços de computação em nuvem. Este projeto, que também inclui a Comissão Europeia, visa alcançar a soberania da UE em matéria de dados ou a governação dos dados da UE através de uma rede de computação em nuvem baseada na UE.</w:t>
      </w:r>
    </w:p>
    <w:p w:rsidR="00D94CAF" w:rsidRPr="00FC35C5" w:rsidRDefault="00D94CAF" w:rsidP="00D94CAF"/>
    <w:p w:rsidR="00D94CAF" w:rsidRPr="00FC35C5" w:rsidRDefault="00D94CAF" w:rsidP="00D94CAF">
      <w:pPr>
        <w:pStyle w:val="Heading2"/>
      </w:pPr>
      <w:r>
        <w:t>O empenho da Comissão em relação ao princípio «mesma atividade, mesmo risco, mesmas regras» é fundamental e constitui um elemento crucial para responder aos novos desafios, entre os quais a garantia de uma mesma supervisão. O CESE considera que a criação de condições de concorrência equitativas para todas as instituições financeiras se reveste de especial importância.</w:t>
      </w:r>
    </w:p>
    <w:p w:rsidR="00546895" w:rsidRPr="00FC35C5" w:rsidRDefault="00546895" w:rsidP="0015678B"/>
    <w:p w:rsidR="00957781" w:rsidRPr="00FC35C5" w:rsidRDefault="00957781" w:rsidP="00690D84">
      <w:pPr>
        <w:pStyle w:val="Heading1"/>
        <w:keepNext/>
        <w:rPr>
          <w:b/>
        </w:rPr>
      </w:pPr>
      <w:r>
        <w:rPr>
          <w:b/>
        </w:rPr>
        <w:lastRenderedPageBreak/>
        <w:t>As propostas da Comissão</w:t>
      </w:r>
    </w:p>
    <w:p w:rsidR="00957781" w:rsidRPr="00FC35C5" w:rsidRDefault="00957781">
      <w:pPr>
        <w:keepNext/>
      </w:pPr>
    </w:p>
    <w:p w:rsidR="001F1831" w:rsidRPr="00FC35C5" w:rsidRDefault="001F1831" w:rsidP="00957781">
      <w:pPr>
        <w:pStyle w:val="Heading2"/>
      </w:pPr>
      <w:r>
        <w:t>Em 24 de setembro de 2020, a Comissão aprovou o pacote Financiamento Digital, que compreende uma Estratégia em matéria de Financiamento Digital</w:t>
      </w:r>
      <w:r w:rsidR="00A41F84" w:rsidRPr="00FC35C5">
        <w:rPr>
          <w:rStyle w:val="FootnoteReference"/>
        </w:rPr>
        <w:footnoteReference w:id="1"/>
      </w:r>
      <w:r>
        <w:t>, uma Estratégia para os pagamentos de pequeno montante</w:t>
      </w:r>
      <w:r w:rsidR="00A41F84" w:rsidRPr="00FC35C5">
        <w:rPr>
          <w:rStyle w:val="FootnoteReference"/>
        </w:rPr>
        <w:footnoteReference w:id="2"/>
      </w:r>
      <w:r>
        <w:t>, propostas legislativas sobre um quadro regulamentar da UE em matéria de criptoativos</w:t>
      </w:r>
      <w:r w:rsidR="00A41F84" w:rsidRPr="00FC35C5">
        <w:rPr>
          <w:rStyle w:val="FootnoteReference"/>
        </w:rPr>
        <w:footnoteReference w:id="3"/>
      </w:r>
      <w:r>
        <w:t xml:space="preserve"> e a subjacente tecnologia de registo distribuído</w:t>
      </w:r>
      <w:r w:rsidR="005B5FEF" w:rsidRPr="00FC35C5">
        <w:rPr>
          <w:rStyle w:val="FootnoteReference"/>
        </w:rPr>
        <w:footnoteReference w:id="4"/>
      </w:r>
      <w:r>
        <w:t>, bem como propostas sobre um quadro regulamentar da UE relativo à resiliência operacional digital</w:t>
      </w:r>
      <w:r w:rsidR="00A41F84" w:rsidRPr="00FC35C5">
        <w:rPr>
          <w:rStyle w:val="FootnoteReference"/>
        </w:rPr>
        <w:footnoteReference w:id="5"/>
      </w:r>
      <w:r>
        <w:t xml:space="preserve">. </w:t>
      </w:r>
    </w:p>
    <w:p w:rsidR="001F1831" w:rsidRPr="00FC35C5" w:rsidRDefault="001F1831" w:rsidP="001F1831"/>
    <w:p w:rsidR="000B69F9" w:rsidRPr="00FC35C5" w:rsidRDefault="00957781" w:rsidP="000B69F9">
      <w:pPr>
        <w:pStyle w:val="Heading2"/>
      </w:pPr>
      <w:r>
        <w:t>No contexto particularmente dinâmico da inovação digital, acelerada pela crise da COVID-19, a Comissão propõe uma estratégia composta por um objetivo estratégico, quatro prioridades e uma série de ações conexas em matéria de financiamento digital. Esta estratégia constitui o objeto do presente parecer do CESE.</w:t>
      </w:r>
    </w:p>
    <w:p w:rsidR="000B69F9" w:rsidRPr="00FC35C5" w:rsidRDefault="000B69F9" w:rsidP="000B69F9">
      <w:pPr>
        <w:pStyle w:val="Heading2"/>
        <w:numPr>
          <w:ilvl w:val="0"/>
          <w:numId w:val="0"/>
        </w:numPr>
        <w:ind w:left="567"/>
      </w:pPr>
    </w:p>
    <w:p w:rsidR="00A41F84" w:rsidRPr="00FC35C5" w:rsidRDefault="000B69F9" w:rsidP="00E03B17">
      <w:pPr>
        <w:pStyle w:val="Heading2"/>
      </w:pPr>
      <w:r>
        <w:t>O objetivo estratégico estabelecido pela Comissão é a adoção do financiamento digital em benefício dos consumidores e das empresas. As quatro prioridades consistem em: 1) combater a fragmentação do mercado único digital dos serviços financeiros, de molde a facultar aos consumidores europeus o acesso aos serviços transfronteiras e ajudar as empresas financeiras europeias a incrementar as suas operações digitais, 2) assegurar que o quadro regulamentar da UE facilite a inovação digital no interesse dos consumidores e da eficiência do mercado, 3) criar um espaço europeu de dados financeiros para promover a inovação baseada em dados, assente na Estratégia Europeia para os Dados, incluindo um melhor acesso aos dados e uma maior partilha de dados no setor financeiro, e 4) enfrentar os novos desafios e riscos associados à transformação digital.</w:t>
      </w:r>
    </w:p>
    <w:p w:rsidR="00957781" w:rsidRPr="00FC35C5" w:rsidRDefault="00957781" w:rsidP="00957781"/>
    <w:p w:rsidR="00011D33" w:rsidRPr="00FC35C5" w:rsidRDefault="00011D33" w:rsidP="00B91EDD">
      <w:pPr>
        <w:pStyle w:val="Heading1"/>
        <w:keepNext/>
        <w:keepLines/>
        <w:rPr>
          <w:b/>
        </w:rPr>
      </w:pPr>
      <w:r>
        <w:rPr>
          <w:b/>
        </w:rPr>
        <w:t>Observações na generalidade e na especialidade</w:t>
      </w:r>
    </w:p>
    <w:p w:rsidR="00957781" w:rsidRPr="00FC35C5" w:rsidRDefault="00957781" w:rsidP="00B91EDD">
      <w:pPr>
        <w:keepNext/>
        <w:keepLines/>
      </w:pPr>
    </w:p>
    <w:p w:rsidR="00957781" w:rsidRPr="00FC35C5" w:rsidRDefault="00957781" w:rsidP="00E03B17">
      <w:pPr>
        <w:pStyle w:val="Heading2"/>
      </w:pPr>
      <w:r>
        <w:t>Através da sua iniciativa de conceber e aplicar uma nova estratégia em matéria de financiamento digital na Europa (enquanto parte integrante do pacote Financiamento Digital), a Comissão confirma a grande importância da digitalização no setor financeiro (serviços financeiros digitais), que se tornou particularmente evidente durante a crise da COVID-19. O programa apresentado pela Comissão, com as suas quatro prioridades, cobre essencialmente a quase totalidade dos principais domínios de atividade no âmbito da transformação digital do setor financeiro da UE. O CESE apoia estas abordagens adotadas pela Comissão.</w:t>
      </w:r>
    </w:p>
    <w:p w:rsidR="00957781" w:rsidRPr="00FC35C5" w:rsidRDefault="00957781" w:rsidP="00E03B17">
      <w:pPr>
        <w:pStyle w:val="Heading2"/>
        <w:numPr>
          <w:ilvl w:val="0"/>
          <w:numId w:val="0"/>
        </w:numPr>
      </w:pPr>
    </w:p>
    <w:p w:rsidR="00D94CAF" w:rsidRPr="00FC35C5" w:rsidRDefault="00957781" w:rsidP="00D94CAF">
      <w:pPr>
        <w:pStyle w:val="Heading2"/>
      </w:pPr>
      <w:r>
        <w:t xml:space="preserve">A Comissão está no bom caminho ao apoiar-se em intervenientes de mercado europeus fortes para desenvolver os serviços financeiros digitais. No entanto, o CESE considera que é necessário ter em conta o papel específico dos intervenientes especializados, regionais e/ou cooperativos ou mutualistas no setor financeiro, pois a diversidade neste setor ajuda a dar resposta às necessidades específicas dos consumidores e das PME e contribui para a </w:t>
      </w:r>
      <w:r>
        <w:lastRenderedPageBreak/>
        <w:t>competitividade dos mercados. O CESE insta a Comissão a procurar a proporcionalidade no que respeita à natureza, à escala e à complexidade das instituições financeiras e dos seus produtos.</w:t>
      </w:r>
    </w:p>
    <w:p w:rsidR="00957781" w:rsidRPr="00FC35C5" w:rsidRDefault="00957781" w:rsidP="00957781">
      <w:pPr>
        <w:pStyle w:val="Heading2"/>
        <w:numPr>
          <w:ilvl w:val="0"/>
          <w:numId w:val="0"/>
        </w:numPr>
        <w:ind w:left="567"/>
      </w:pPr>
    </w:p>
    <w:p w:rsidR="0042223E" w:rsidRPr="00FC35C5" w:rsidRDefault="00957781" w:rsidP="0012584B">
      <w:pPr>
        <w:pStyle w:val="Heading2"/>
      </w:pPr>
      <w:r>
        <w:t>A comunicação da Comissão é extremamente técnica e omissa em relação a um ponto: devido à digitalização, o setor financeiro da UE enfrenta um enorme processo de transformação. Este processo está estreitamente ligado a profundos processos de reestruturação, ao encerramento de sucursais locais, à evolução das qualificações profissionais dos trabalhadores e a formas de trabalho completamente novas. Estas importantes mudanças não podem ser ignoradas, representando um grande desafio para os prestadores de serviços financeiros e, naturalmente, para os trabalhadores do setor. O CESE defende o diálogo social para abordar os desafios nos domínios em que a transformação está a ocorrer.</w:t>
      </w:r>
    </w:p>
    <w:p w:rsidR="009A7434" w:rsidRPr="00FC35C5" w:rsidRDefault="009A7434" w:rsidP="009A7434"/>
    <w:p w:rsidR="0042223E" w:rsidRPr="00FC35C5" w:rsidRDefault="008D1CCD" w:rsidP="0042223E">
      <w:pPr>
        <w:pStyle w:val="Heading2"/>
      </w:pPr>
      <w:r>
        <w:t>A Comissão afirma que o bom funcionamento do mercado único de serviços financeiros digitais contribuirá para melhorar o acesso dos consumidores e dos investidores não profissionais aos serviços financeiros na UE. O CESE apoia esta abordagem adotada pela Comissão. Para reduzir a fragmentação no mercado único digital dos serviços financeiros, é essencial que os mercados possam desenvolver-se.</w:t>
      </w:r>
    </w:p>
    <w:p w:rsidR="0042223E" w:rsidRPr="00FC35C5" w:rsidRDefault="0042223E" w:rsidP="0042223E">
      <w:pPr>
        <w:pStyle w:val="Heading2"/>
        <w:numPr>
          <w:ilvl w:val="0"/>
          <w:numId w:val="0"/>
        </w:numPr>
        <w:ind w:left="567"/>
      </w:pPr>
    </w:p>
    <w:p w:rsidR="00E905FC" w:rsidRPr="00FC35C5" w:rsidRDefault="00E905FC" w:rsidP="00E905FC">
      <w:pPr>
        <w:pStyle w:val="Heading2"/>
      </w:pPr>
      <w:r>
        <w:t>A Comissão salienta a necessidade de ponderar a criação de uma plataforma da UE para o financiamento digital. O CESE subscreve esta posição e recomenda a inclusão dos parceiros sociais e dos representantes da sociedade civil nesse processo.</w:t>
      </w:r>
    </w:p>
    <w:p w:rsidR="00E905FC" w:rsidRPr="00FC35C5" w:rsidRDefault="00E905FC" w:rsidP="00E905FC"/>
    <w:p w:rsidR="0042223E" w:rsidRPr="00FC35C5" w:rsidRDefault="008D1CCD" w:rsidP="0042223E">
      <w:pPr>
        <w:pStyle w:val="Heading2"/>
      </w:pPr>
      <w:r>
        <w:t>Na prática, a experiência demonstra que um mercado único de serviços financeiros digitais só funcionará se os novos clientes puderem aceder rápida e facilmente a esses serviços (a chamada «inscrição digital»). O CESE toma nota deste problema crucial nos domínios salientados pela Comissão.</w:t>
      </w:r>
    </w:p>
    <w:p w:rsidR="0042223E" w:rsidRPr="00FC35C5" w:rsidRDefault="0042223E" w:rsidP="0042223E">
      <w:pPr>
        <w:pStyle w:val="Heading2"/>
        <w:numPr>
          <w:ilvl w:val="0"/>
          <w:numId w:val="0"/>
        </w:numPr>
        <w:ind w:left="567"/>
      </w:pPr>
    </w:p>
    <w:p w:rsidR="00407C5A" w:rsidRDefault="0042223E" w:rsidP="00407C5A">
      <w:pPr>
        <w:pStyle w:val="Heading2"/>
      </w:pPr>
      <w:r>
        <w:t>A fragmentação das regras em matéria de branqueamento de capitais entre os Estados-Membros torna a utilização transfronteiras de identidades digitais consideravelmente mais difícil, se não mesmo impossível. As regras relativas à identificação dos clientes devem ser harmonizadas em toda a UE. Por conseguinte, o CESE recomenda que se assegure a interoperabilidade jurídica das identidades digitais à escala europeia.</w:t>
      </w:r>
    </w:p>
    <w:p w:rsidR="00407C5A" w:rsidRPr="00407C5A" w:rsidRDefault="00407C5A" w:rsidP="00407C5A"/>
    <w:p w:rsidR="00CC743D" w:rsidRDefault="00CC743D" w:rsidP="00796EA0">
      <w:pPr>
        <w:pStyle w:val="Heading2"/>
      </w:pPr>
      <w:r>
        <w:t>Na elaboração da Estratégia em matéria de Financiamento Digital para a UE, não se pode esquecer a questão da segurança dos cidadãos. Deve integrar-se na estratégia a recomendação aos Estados-Membros para introduzirem, a par da aplicação da estratégia, medidas jurídicas e organizativas de combate ao fenómeno da usurpação de identida</w:t>
      </w:r>
      <w:r w:rsidR="0023554E">
        <w:t>de. Este problema está a tornar</w:t>
      </w:r>
      <w:r w:rsidR="0023554E">
        <w:noBreakHyphen/>
      </w:r>
      <w:r>
        <w:t>se cada vez mais comum com o desenvolvimento dos serviços e produtos digitais e, se não forem tomadas medidas, pode ser um fator prejudicial à aplicação da estratégia.</w:t>
      </w:r>
    </w:p>
    <w:p w:rsidR="001F2261" w:rsidRPr="00FC35C5" w:rsidRDefault="001F2261" w:rsidP="001F2261">
      <w:pPr>
        <w:pStyle w:val="Heading2"/>
        <w:numPr>
          <w:ilvl w:val="0"/>
          <w:numId w:val="0"/>
        </w:numPr>
        <w:ind w:left="567"/>
      </w:pPr>
    </w:p>
    <w:p w:rsidR="001F2261" w:rsidRPr="00FC35C5" w:rsidRDefault="008D1CCD" w:rsidP="00D94CAF">
      <w:pPr>
        <w:pStyle w:val="Heading2"/>
      </w:pPr>
      <w:r>
        <w:t>O CESE apoia as propostas da Comissão no sentido de criar um quadro competitivo e favorável à inovação para os mercados financeiros, que proporcione benefícios aos consumidores e às empresas. No entanto, é necessário assegurar simultaneamente que as práticas de supervisão e a legislação da UE continuam a basear</w:t>
      </w:r>
      <w:bookmarkStart w:id="0" w:name="_GoBack"/>
      <w:r>
        <w:t>-</w:t>
      </w:r>
      <w:bookmarkEnd w:id="0"/>
      <w:r>
        <w:t>se no princípio orientador da neutralidade tecnológica, revendo igualmente os atuais requisitos de documentação em papel.</w:t>
      </w:r>
    </w:p>
    <w:p w:rsidR="00D63BD8" w:rsidRPr="00FC35C5" w:rsidRDefault="00D63BD8" w:rsidP="00D63BD8"/>
    <w:p w:rsidR="00D94CAF" w:rsidRPr="00FC35C5" w:rsidRDefault="005315EE" w:rsidP="00D94CAF">
      <w:pPr>
        <w:pStyle w:val="Heading2"/>
      </w:pPr>
      <w:r>
        <w:lastRenderedPageBreak/>
        <w:t xml:space="preserve">No mercado digital, algumas empresas de tecnologia financeira oferecem serviços a sociedades financeiras, enquanto outras estão em concorrência com estas últimas. O CESE considera que a Comissão deve ter em conta estas questões ao elaborar nova regulamentação. Por conseguinte, recomenda que a nova regulamentação se oriente para o fomento de parcerias entre as instituições financeiras estabelecidas e o setor da tecnologia financeira. Embora seja evidente que os bancos são as instituições mais relevantes, a legislação deve evitar aplicar os mesmos requisitos a todos os intervenientes, que podem não ser adequados a todos os tipos de serviços financeiros. A legislação deve distinguir entre produtos orientados para os consumidores, que podem ser considerados produtos de base, e produtos mais complexos em relação aos quais o âmbito de aplicação e os serviços pós-venda se revestem de importância significativa. </w:t>
      </w:r>
    </w:p>
    <w:p w:rsidR="003A70A1" w:rsidRPr="00FC35C5" w:rsidRDefault="003A70A1" w:rsidP="005A66B6"/>
    <w:p w:rsidR="00D94CAF" w:rsidRPr="00FC35C5" w:rsidRDefault="00D94CAF" w:rsidP="00D94CAF">
      <w:pPr>
        <w:pStyle w:val="Heading2"/>
      </w:pPr>
      <w:r>
        <w:t>O CESE considera que é necessário ampliar a partilha de dados para além do setor financeiro e recorda à Comissão a sua recomendação</w:t>
      </w:r>
      <w:r w:rsidRPr="00FC35C5">
        <w:rPr>
          <w:rStyle w:val="FootnoteReference"/>
        </w:rPr>
        <w:footnoteReference w:id="6"/>
      </w:r>
      <w:r>
        <w:t>, relativa à Comunicação da Comissão – Uma estratégia europeia para os dados, em que o CESE se congratula com a proposta de uma estratégia para os dados que defina a partilha transetorial de dados como prioridade e melhore a utilização, a partilha, o acesso e a governação dos dados, através de medidas legislativas e setoriais específicas, e salienta que esse quadro deve ser criado mediante a combinação de normas estritas de proteção de dados, a partilha transetorial e responsável de dados, a definição de critérios claros para a governação específica do setor e para a qualidade dos dados e o reforço do controlo exercido pelas pessoas sobre os seus dados. É fundamental garantir que os dados recolhidos por uma filial de pagamento de um grupo de grandes empresas tecnológicas (as chamadas «Bigtech») não sejam cedidos à sociedade-mãe nem sejam fundidos com os dados detidos por esta. Para que este princípio funcione, é necessário que existam barreiras de segurança (</w:t>
      </w:r>
      <w:r>
        <w:rPr>
          <w:i/>
        </w:rPr>
        <w:t>firewalls</w:t>
      </w:r>
      <w:r>
        <w:t>) entre a filial de pagamento e a sociedade-mãe.</w:t>
      </w:r>
    </w:p>
    <w:p w:rsidR="001F2261" w:rsidRPr="00FC35C5" w:rsidRDefault="001F2261" w:rsidP="005A66B6">
      <w:pPr>
        <w:pStyle w:val="Heading2"/>
        <w:numPr>
          <w:ilvl w:val="0"/>
          <w:numId w:val="0"/>
        </w:numPr>
        <w:ind w:left="567"/>
      </w:pPr>
    </w:p>
    <w:p w:rsidR="001F2261" w:rsidRPr="00FC35C5" w:rsidRDefault="008D1CCD" w:rsidP="001F2261">
      <w:pPr>
        <w:pStyle w:val="Heading2"/>
      </w:pPr>
      <w:r>
        <w:t>O CESE considera que, para fazer face aos desafios e riscos associados à transformação digital, a regulamentação dos fornecedores de tecnologia, a proteção dos consumidores, a garantia de acesso aos serviços financeiros, a resiliência operacional e a segurança das redes e dos sistemas de informação constituem elementos cruciais para a criação do mercado único digital de serviços financeiros.</w:t>
      </w:r>
    </w:p>
    <w:p w:rsidR="008938B5" w:rsidRPr="00FC35C5" w:rsidRDefault="008938B5" w:rsidP="008938B5"/>
    <w:p w:rsidR="008938B5" w:rsidRPr="00796EA0" w:rsidRDefault="008938B5">
      <w:pPr>
        <w:pStyle w:val="Heading2"/>
        <w:rPr>
          <w:rFonts w:eastAsiaTheme="minorHAnsi"/>
        </w:rPr>
      </w:pPr>
      <w:r>
        <w:t>No domínio da cibersegurança, o CESE salienta que a maioria das instituições financeiras europeias de importância sistémica recorre aos serviços de tecnologia financeira prestados por empresas de países terceiros. A iniciativa legislativa sobre resiliência operacional digital (DORA)</w:t>
      </w:r>
      <w:r w:rsidR="00D94CAF" w:rsidRPr="005B08BA">
        <w:rPr>
          <w:rStyle w:val="FootnoteReference"/>
          <w:sz w:val="22"/>
        </w:rPr>
        <w:footnoteReference w:id="7"/>
      </w:r>
      <w:r>
        <w:t xml:space="preserve"> apresentada pela Comissão pode revelar-se insuficiente em determinadas situações, pelo que o CESE acolhe favoravelmente o projeto GAIA-X, que visa quebrar a posição dominante dos EUA e da China nos serviços de computação em nuvem. Este projeto, que também inclui a Comissão Europeia, visa alcançar a soberania da UE em matéria de dados ou a governação dos dados da UE através de uma rede de computação em nuvem baseada na UE. Tendo em conta que dependemos cada vez mais dos serviços digitais, a independência em relação aos prestadores externos de serviços de computação em nuvem e o facto de a UE reforçar a sua própria soberania económica e política são do interesse das partes interessadas da </w:t>
      </w:r>
      <w:r>
        <w:lastRenderedPageBreak/>
        <w:t xml:space="preserve">União. Uma rede europeia de computação em nuvem facilitaria também a circulação de dados entre os Estados-Membros. </w:t>
      </w:r>
    </w:p>
    <w:p w:rsidR="001F2261" w:rsidRPr="00FC35C5" w:rsidRDefault="001F2261" w:rsidP="001F2261">
      <w:pPr>
        <w:pStyle w:val="Heading2"/>
        <w:numPr>
          <w:ilvl w:val="0"/>
          <w:numId w:val="0"/>
        </w:numPr>
        <w:ind w:left="567"/>
      </w:pPr>
    </w:p>
    <w:p w:rsidR="001F2261" w:rsidRPr="00FC35C5" w:rsidRDefault="001F2261" w:rsidP="001F2261">
      <w:pPr>
        <w:pStyle w:val="Heading2"/>
      </w:pPr>
      <w:r>
        <w:t>O empenho da Comissão em relação ao princípio «mesma atividade, mesmo risco, mesmas regras» é fundamental e constitui um elemento crucial para responder aos novos desafios, nomeadamente assegurar a mesma supervisão. À luz da influência crescente das grandes empresas tecnológicas e das plataformas e empresas tecnológicas em geral, e tendo em conta a utilidade das suas atividades no setor financeiro, o CESE considera que a criação de condições de concorrência equitativas para todos os intervenientes de mercado neste setor se reveste de especial importância.</w:t>
      </w:r>
    </w:p>
    <w:p w:rsidR="001F2261" w:rsidRPr="00FC35C5" w:rsidRDefault="001F2261" w:rsidP="001F2261">
      <w:pPr>
        <w:pStyle w:val="Heading2"/>
        <w:numPr>
          <w:ilvl w:val="0"/>
          <w:numId w:val="0"/>
        </w:numPr>
        <w:ind w:left="567"/>
      </w:pPr>
    </w:p>
    <w:p w:rsidR="00AA5798" w:rsidRPr="00FC35C5" w:rsidRDefault="001F2261" w:rsidP="00690D84">
      <w:pPr>
        <w:pStyle w:val="Heading2"/>
        <w:keepNext/>
      </w:pPr>
      <w:r>
        <w:t>A Comissão está a ponderar uma estratégia para apoiar e investir na educação financeira geral, com especial ênfase na digitalização. Esta iniciativa pode conduzir a uma maior abertura dos serviços digitais e a uma melhor proteção dos consumidores, independentemente da idade, do género ou da situação profissional. O CESE incentiva a Comissão a prosseguir nesta via.</w:t>
      </w:r>
    </w:p>
    <w:p w:rsidR="00E5447A" w:rsidRDefault="00E5447A" w:rsidP="00690D84">
      <w:pPr>
        <w:keepNext/>
      </w:pPr>
    </w:p>
    <w:p w:rsidR="00E5447A" w:rsidRDefault="00E5447A" w:rsidP="00690D84">
      <w:pPr>
        <w:keepNext/>
      </w:pPr>
      <w:r>
        <w:t>Bruxelas, 24 de fevereiro de 2021</w:t>
      </w:r>
    </w:p>
    <w:p w:rsidR="00E5447A" w:rsidRDefault="00E5447A" w:rsidP="00690D84">
      <w:pPr>
        <w:keepNext/>
      </w:pPr>
    </w:p>
    <w:p w:rsidR="00E5447A" w:rsidRDefault="00E5447A" w:rsidP="00690D84">
      <w:pPr>
        <w:keepNext/>
      </w:pPr>
    </w:p>
    <w:p w:rsidR="00E5447A" w:rsidRDefault="00E5447A" w:rsidP="00690D84">
      <w:pPr>
        <w:keepNext/>
      </w:pPr>
    </w:p>
    <w:p w:rsidR="00E5447A" w:rsidRDefault="00E5447A" w:rsidP="00690D84">
      <w:pPr>
        <w:keepNext/>
      </w:pPr>
    </w:p>
    <w:p w:rsidR="00E5447A" w:rsidRDefault="00B379C8" w:rsidP="00690D84">
      <w:pPr>
        <w:keepNext/>
      </w:pPr>
      <w:r>
        <w:t>Christa Schweng</w:t>
      </w:r>
    </w:p>
    <w:p w:rsidR="00E5447A" w:rsidRPr="00FC35C5" w:rsidRDefault="00E5447A" w:rsidP="00690D84">
      <w:pPr>
        <w:keepNext/>
      </w:pPr>
      <w:r>
        <w:t xml:space="preserve">Presidente do Comité Económico e Social Europeu </w:t>
      </w:r>
    </w:p>
    <w:p w:rsidR="00B034E2" w:rsidRDefault="00B034E2" w:rsidP="00690D84">
      <w:pPr>
        <w:keepNext/>
        <w:jc w:val="center"/>
      </w:pPr>
    </w:p>
    <w:p w:rsidR="00646AC2" w:rsidRPr="00FC35C5" w:rsidRDefault="00646AC2" w:rsidP="00690D84">
      <w:pPr>
        <w:keepNext/>
        <w:jc w:val="center"/>
      </w:pPr>
      <w:r>
        <w:t>_____________</w:t>
      </w:r>
    </w:p>
    <w:sectPr w:rsidR="00646AC2" w:rsidRPr="00FC35C5" w:rsidSect="009A72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553" w:rsidRDefault="00CD2553">
      <w:r>
        <w:separator/>
      </w:r>
    </w:p>
  </w:endnote>
  <w:endnote w:type="continuationSeparator" w:id="0">
    <w:p w:rsidR="00CD2553" w:rsidRDefault="00C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9A7239" w:rsidRDefault="009A7239" w:rsidP="009A7239">
    <w:pPr>
      <w:pStyle w:val="Footer"/>
    </w:pPr>
    <w:r>
      <w:t xml:space="preserve">ECO/534 – EESC-2020-04935-00-00-AC-TRA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23554E">
      <w:rPr>
        <w:noProof/>
      </w:rPr>
      <w:t>1</w:t>
    </w:r>
    <w:r>
      <w:fldChar w:fldCharType="end"/>
    </w:r>
    <w:r>
      <w:t>/</w:t>
    </w:r>
    <w:fldSimple w:instr=" NUMPAGES ">
      <w:r w:rsidR="0023554E">
        <w:rPr>
          <w:noProof/>
        </w:rPr>
        <w:t>7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80698D" w:rsidP="009A72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9A7239" w:rsidP="009A7239">
    <w:pPr>
      <w:pStyle w:val="Footer"/>
    </w:pPr>
    <w:r>
      <w:t xml:space="preserve">ECO/534 – EESC-2020-04935-00-00-AC-TRA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23554E">
      <w:rPr>
        <w:noProof/>
      </w:rPr>
      <w:t>5</w:t>
    </w:r>
    <w:r>
      <w:fldChar w:fldCharType="end"/>
    </w:r>
    <w:r>
      <w:t>/</w:t>
    </w:r>
    <w:fldSimple w:instr=" NUMPAGES ">
      <w:r w:rsidR="0023554E">
        <w:rPr>
          <w:noProof/>
        </w:rPr>
        <w:t>7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80698D" w:rsidP="009A72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553" w:rsidRDefault="00CD2553">
      <w:r>
        <w:separator/>
      </w:r>
    </w:p>
  </w:footnote>
  <w:footnote w:type="continuationSeparator" w:id="0">
    <w:p w:rsidR="00CD2553" w:rsidRDefault="00CD2553">
      <w:r>
        <w:continuationSeparator/>
      </w:r>
    </w:p>
  </w:footnote>
  <w:footnote w:id="1">
    <w:p w:rsidR="00E01608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</w:rPr>
        <w:footnoteRef/>
      </w:r>
      <w:r>
        <w:rPr>
          <w:sz w:val="18"/>
          <w:szCs w:val="18"/>
        </w:rPr>
        <w:tab/>
      </w:r>
      <w:hyperlink r:id="rId1" w:history="1">
        <w:r>
          <w:rPr>
            <w:rStyle w:val="Hyperlink"/>
            <w:sz w:val="16"/>
            <w:szCs w:val="16"/>
          </w:rPr>
          <w:t>COM(2020) 591 final</w:t>
        </w:r>
      </w:hyperlink>
      <w:r>
        <w:t>.</w:t>
      </w:r>
    </w:p>
  </w:footnote>
  <w:footnote w:id="2">
    <w:p w:rsidR="00A41F84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</w:rPr>
        <w:footnoteRef/>
      </w:r>
      <w:r>
        <w:rPr>
          <w:sz w:val="18"/>
          <w:szCs w:val="18"/>
        </w:rPr>
        <w:tab/>
      </w:r>
      <w:hyperlink r:id="rId2" w:history="1">
        <w:r>
          <w:rPr>
            <w:rStyle w:val="Hyperlink"/>
            <w:sz w:val="16"/>
            <w:szCs w:val="16"/>
          </w:rPr>
          <w:t>COM(2020) 592 final</w:t>
        </w:r>
      </w:hyperlink>
      <w:r>
        <w:t>.</w:t>
      </w:r>
    </w:p>
  </w:footnote>
  <w:footnote w:id="3">
    <w:p w:rsidR="00A41F84" w:rsidRPr="00690D84" w:rsidRDefault="00A41F84" w:rsidP="00796EA0">
      <w:pPr>
        <w:pStyle w:val="NormalWeb"/>
        <w:shd w:val="clear" w:color="auto" w:fill="FFFFFF"/>
        <w:tabs>
          <w:tab w:val="left" w:pos="720"/>
          <w:tab w:val="left" w:pos="1440"/>
          <w:tab w:val="left" w:pos="2160"/>
          <w:tab w:val="left" w:pos="4013"/>
        </w:tabs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3" w:history="1">
        <w:r>
          <w:rPr>
            <w:rStyle w:val="Hyperlink"/>
            <w:sz w:val="16"/>
            <w:szCs w:val="16"/>
          </w:rPr>
          <w:t>COM(2020) 593 final</w:t>
        </w:r>
      </w:hyperlink>
      <w:r>
        <w:t>.</w:t>
      </w:r>
    </w:p>
  </w:footnote>
  <w:footnote w:id="4">
    <w:p w:rsidR="009A7434" w:rsidRPr="00690D84" w:rsidRDefault="005B5FEF">
      <w:pPr>
        <w:pStyle w:val="FootnoteText"/>
        <w:rPr>
          <w:color w:val="444444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4" w:history="1">
        <w:r>
          <w:rPr>
            <w:rStyle w:val="Hyperlink"/>
          </w:rPr>
          <w:t>COM(2020) 594 final</w:t>
        </w:r>
      </w:hyperlink>
      <w:r>
        <w:t>.</w:t>
      </w:r>
    </w:p>
  </w:footnote>
  <w:footnote w:id="5">
    <w:p w:rsidR="00A41F84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6"/>
          <w:szCs w:val="16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5" w:history="1">
        <w:r>
          <w:rPr>
            <w:rStyle w:val="Hyperlink"/>
            <w:sz w:val="16"/>
            <w:szCs w:val="16"/>
          </w:rPr>
          <w:t>COM(2020) 595 final</w:t>
        </w:r>
      </w:hyperlink>
      <w:r>
        <w:rPr>
          <w:sz w:val="16"/>
          <w:szCs w:val="16"/>
        </w:rPr>
        <w:t xml:space="preserve"> e </w:t>
      </w:r>
      <w:hyperlink r:id="rId6" w:history="1">
        <w:r>
          <w:rPr>
            <w:rStyle w:val="Hyperlink"/>
            <w:sz w:val="16"/>
            <w:szCs w:val="16"/>
          </w:rPr>
          <w:t>COM(2020) 596 final</w:t>
        </w:r>
      </w:hyperlink>
      <w:r>
        <w:t>.</w:t>
      </w:r>
    </w:p>
  </w:footnote>
  <w:footnote w:id="6">
    <w:p w:rsidR="00D94CAF" w:rsidRPr="00690D84" w:rsidRDefault="00D94CAF" w:rsidP="00D94CA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7" w:history="1">
        <w:r>
          <w:rPr>
            <w:rStyle w:val="Hyperlink"/>
          </w:rPr>
          <w:t>JO C 429 de 11.12.2020, p. 290</w:t>
        </w:r>
      </w:hyperlink>
      <w:r>
        <w:t>.</w:t>
      </w:r>
    </w:p>
  </w:footnote>
  <w:footnote w:id="7">
    <w:p w:rsidR="00D94CAF" w:rsidRPr="00690D84" w:rsidRDefault="00D94CAF" w:rsidP="00D94CA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8" w:history="1">
        <w:r>
          <w:rPr>
            <w:rStyle w:val="Hyperlink"/>
          </w:rPr>
          <w:t>COM(2020) 595 final</w:t>
        </w:r>
      </w:hyperlink>
      <w:r>
        <w:t>. Ver também o Parecer do CESE –</w:t>
      </w:r>
      <w:hyperlink r:id="rId9" w:history="1">
        <w:r>
          <w:rPr>
            <w:rStyle w:val="Hyperlink"/>
          </w:rPr>
          <w:t xml:space="preserve"> Resiliência operacional digital (ECO/536)</w:t>
        </w:r>
      </w:hyperlink>
      <w:r>
        <w:t>. Ainda não publicado no Jornal Oficial.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80698D" w:rsidP="009A72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80698D" w:rsidP="009A72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9A7239" w:rsidRDefault="0080698D" w:rsidP="009A72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ADC1FD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hideSpellingErrors/>
  <w:hideGrammaticalError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4A65"/>
    <w:rsid w:val="00005AB9"/>
    <w:rsid w:val="00005EB9"/>
    <w:rsid w:val="00006E24"/>
    <w:rsid w:val="00007A40"/>
    <w:rsid w:val="00011D33"/>
    <w:rsid w:val="000139D1"/>
    <w:rsid w:val="00020E6E"/>
    <w:rsid w:val="000244DD"/>
    <w:rsid w:val="00031A4B"/>
    <w:rsid w:val="00033913"/>
    <w:rsid w:val="00033E5B"/>
    <w:rsid w:val="000357A8"/>
    <w:rsid w:val="000430A6"/>
    <w:rsid w:val="00044923"/>
    <w:rsid w:val="0005120A"/>
    <w:rsid w:val="0005249C"/>
    <w:rsid w:val="000534A5"/>
    <w:rsid w:val="0005680D"/>
    <w:rsid w:val="00063FB4"/>
    <w:rsid w:val="0006444C"/>
    <w:rsid w:val="0006793E"/>
    <w:rsid w:val="00072E0F"/>
    <w:rsid w:val="000735E5"/>
    <w:rsid w:val="0007392F"/>
    <w:rsid w:val="0007468D"/>
    <w:rsid w:val="00087B39"/>
    <w:rsid w:val="00096502"/>
    <w:rsid w:val="000A49BB"/>
    <w:rsid w:val="000B69F9"/>
    <w:rsid w:val="000C3441"/>
    <w:rsid w:val="000C7F53"/>
    <w:rsid w:val="000D2F8E"/>
    <w:rsid w:val="000E0126"/>
    <w:rsid w:val="000E16D5"/>
    <w:rsid w:val="000F196B"/>
    <w:rsid w:val="00105361"/>
    <w:rsid w:val="001101F8"/>
    <w:rsid w:val="0011206F"/>
    <w:rsid w:val="00115C25"/>
    <w:rsid w:val="0011656A"/>
    <w:rsid w:val="0012220C"/>
    <w:rsid w:val="0012584B"/>
    <w:rsid w:val="00136EA3"/>
    <w:rsid w:val="00137575"/>
    <w:rsid w:val="00144231"/>
    <w:rsid w:val="00150434"/>
    <w:rsid w:val="00155491"/>
    <w:rsid w:val="00155721"/>
    <w:rsid w:val="00155A32"/>
    <w:rsid w:val="0015678B"/>
    <w:rsid w:val="0016503F"/>
    <w:rsid w:val="0016674F"/>
    <w:rsid w:val="00167CA0"/>
    <w:rsid w:val="0017120D"/>
    <w:rsid w:val="001714F6"/>
    <w:rsid w:val="0017517E"/>
    <w:rsid w:val="00176168"/>
    <w:rsid w:val="00177158"/>
    <w:rsid w:val="001808A5"/>
    <w:rsid w:val="00183D34"/>
    <w:rsid w:val="00184FD4"/>
    <w:rsid w:val="00186B04"/>
    <w:rsid w:val="00186F1E"/>
    <w:rsid w:val="00190836"/>
    <w:rsid w:val="00193930"/>
    <w:rsid w:val="001963A5"/>
    <w:rsid w:val="00196F1E"/>
    <w:rsid w:val="00197FCA"/>
    <w:rsid w:val="001A27DB"/>
    <w:rsid w:val="001A6852"/>
    <w:rsid w:val="001B286A"/>
    <w:rsid w:val="001B2D02"/>
    <w:rsid w:val="001B3647"/>
    <w:rsid w:val="001B4F47"/>
    <w:rsid w:val="001B534A"/>
    <w:rsid w:val="001B77FA"/>
    <w:rsid w:val="001C0ABE"/>
    <w:rsid w:val="001C4939"/>
    <w:rsid w:val="001C5852"/>
    <w:rsid w:val="001C651E"/>
    <w:rsid w:val="001D45F0"/>
    <w:rsid w:val="001E2C62"/>
    <w:rsid w:val="001E4A33"/>
    <w:rsid w:val="001E4EBC"/>
    <w:rsid w:val="001E5C27"/>
    <w:rsid w:val="001F1831"/>
    <w:rsid w:val="001F2261"/>
    <w:rsid w:val="001F602B"/>
    <w:rsid w:val="001F6AC8"/>
    <w:rsid w:val="001F7688"/>
    <w:rsid w:val="002037D5"/>
    <w:rsid w:val="00206F90"/>
    <w:rsid w:val="00212B03"/>
    <w:rsid w:val="002131AE"/>
    <w:rsid w:val="00215C10"/>
    <w:rsid w:val="00215C2D"/>
    <w:rsid w:val="00222006"/>
    <w:rsid w:val="002252C4"/>
    <w:rsid w:val="00230111"/>
    <w:rsid w:val="0023183E"/>
    <w:rsid w:val="00235138"/>
    <w:rsid w:val="0023554E"/>
    <w:rsid w:val="00243E36"/>
    <w:rsid w:val="0024540B"/>
    <w:rsid w:val="00245EF4"/>
    <w:rsid w:val="00250E11"/>
    <w:rsid w:val="00251383"/>
    <w:rsid w:val="002522C9"/>
    <w:rsid w:val="00252A21"/>
    <w:rsid w:val="00253E4F"/>
    <w:rsid w:val="002542E4"/>
    <w:rsid w:val="00261053"/>
    <w:rsid w:val="00262FDE"/>
    <w:rsid w:val="00263629"/>
    <w:rsid w:val="002769BD"/>
    <w:rsid w:val="00276A75"/>
    <w:rsid w:val="002809EA"/>
    <w:rsid w:val="00281706"/>
    <w:rsid w:val="002848D8"/>
    <w:rsid w:val="00284962"/>
    <w:rsid w:val="00287B0E"/>
    <w:rsid w:val="002A0B53"/>
    <w:rsid w:val="002A0EEF"/>
    <w:rsid w:val="002A76F9"/>
    <w:rsid w:val="002B2DF7"/>
    <w:rsid w:val="002C1DB1"/>
    <w:rsid w:val="002C3BF4"/>
    <w:rsid w:val="002C749F"/>
    <w:rsid w:val="002E7B33"/>
    <w:rsid w:val="002F059B"/>
    <w:rsid w:val="002F5B0B"/>
    <w:rsid w:val="00300924"/>
    <w:rsid w:val="0030596E"/>
    <w:rsid w:val="0030651D"/>
    <w:rsid w:val="003073C3"/>
    <w:rsid w:val="00313B44"/>
    <w:rsid w:val="00323637"/>
    <w:rsid w:val="00324E8A"/>
    <w:rsid w:val="00331D87"/>
    <w:rsid w:val="00332850"/>
    <w:rsid w:val="00334478"/>
    <w:rsid w:val="003346B4"/>
    <w:rsid w:val="00334AE6"/>
    <w:rsid w:val="003365D0"/>
    <w:rsid w:val="003439AB"/>
    <w:rsid w:val="0035034C"/>
    <w:rsid w:val="00354695"/>
    <w:rsid w:val="0035549B"/>
    <w:rsid w:val="0037406E"/>
    <w:rsid w:val="003755C8"/>
    <w:rsid w:val="00375687"/>
    <w:rsid w:val="00380AE0"/>
    <w:rsid w:val="00383324"/>
    <w:rsid w:val="00383C10"/>
    <w:rsid w:val="00387A75"/>
    <w:rsid w:val="003904FD"/>
    <w:rsid w:val="00394254"/>
    <w:rsid w:val="00395BA8"/>
    <w:rsid w:val="003A4894"/>
    <w:rsid w:val="003A70A1"/>
    <w:rsid w:val="003A7817"/>
    <w:rsid w:val="003B290D"/>
    <w:rsid w:val="003C2BFB"/>
    <w:rsid w:val="003C436B"/>
    <w:rsid w:val="003C5337"/>
    <w:rsid w:val="003C5F92"/>
    <w:rsid w:val="003C7283"/>
    <w:rsid w:val="003D0A2C"/>
    <w:rsid w:val="003D7A8C"/>
    <w:rsid w:val="003D7C00"/>
    <w:rsid w:val="003E56E5"/>
    <w:rsid w:val="003E7E60"/>
    <w:rsid w:val="003F00D4"/>
    <w:rsid w:val="003F2209"/>
    <w:rsid w:val="003F3D39"/>
    <w:rsid w:val="003F646A"/>
    <w:rsid w:val="003F6761"/>
    <w:rsid w:val="003F6A0A"/>
    <w:rsid w:val="004024F5"/>
    <w:rsid w:val="00402DE1"/>
    <w:rsid w:val="00403D8B"/>
    <w:rsid w:val="004058F1"/>
    <w:rsid w:val="00407C5A"/>
    <w:rsid w:val="00407E7D"/>
    <w:rsid w:val="0041283D"/>
    <w:rsid w:val="00413AB4"/>
    <w:rsid w:val="00415C4E"/>
    <w:rsid w:val="00417E15"/>
    <w:rsid w:val="00421373"/>
    <w:rsid w:val="00421FB7"/>
    <w:rsid w:val="0042223E"/>
    <w:rsid w:val="00425F69"/>
    <w:rsid w:val="0042763B"/>
    <w:rsid w:val="0043024C"/>
    <w:rsid w:val="00436706"/>
    <w:rsid w:val="00443D38"/>
    <w:rsid w:val="00450E7A"/>
    <w:rsid w:val="00456AF8"/>
    <w:rsid w:val="00456E96"/>
    <w:rsid w:val="00462C85"/>
    <w:rsid w:val="00470B15"/>
    <w:rsid w:val="00475869"/>
    <w:rsid w:val="00475A77"/>
    <w:rsid w:val="004866A9"/>
    <w:rsid w:val="00492774"/>
    <w:rsid w:val="00496D7A"/>
    <w:rsid w:val="004A31BC"/>
    <w:rsid w:val="004A3F1A"/>
    <w:rsid w:val="004A3F45"/>
    <w:rsid w:val="004A5738"/>
    <w:rsid w:val="004B1AFA"/>
    <w:rsid w:val="004B7088"/>
    <w:rsid w:val="004C4D12"/>
    <w:rsid w:val="004C5B76"/>
    <w:rsid w:val="004D02CD"/>
    <w:rsid w:val="004D0B24"/>
    <w:rsid w:val="004D4B90"/>
    <w:rsid w:val="004D52C1"/>
    <w:rsid w:val="004D535F"/>
    <w:rsid w:val="004D6B95"/>
    <w:rsid w:val="004D7D6A"/>
    <w:rsid w:val="004D7F41"/>
    <w:rsid w:val="004E03A2"/>
    <w:rsid w:val="004E317E"/>
    <w:rsid w:val="004E3954"/>
    <w:rsid w:val="004E5856"/>
    <w:rsid w:val="004F2330"/>
    <w:rsid w:val="004F53C6"/>
    <w:rsid w:val="004F55C6"/>
    <w:rsid w:val="004F69DB"/>
    <w:rsid w:val="004F6B87"/>
    <w:rsid w:val="00501C2D"/>
    <w:rsid w:val="00502637"/>
    <w:rsid w:val="00511140"/>
    <w:rsid w:val="00513CFE"/>
    <w:rsid w:val="00514148"/>
    <w:rsid w:val="00514827"/>
    <w:rsid w:val="00514AE9"/>
    <w:rsid w:val="00523B6A"/>
    <w:rsid w:val="00525F6C"/>
    <w:rsid w:val="005315EE"/>
    <w:rsid w:val="005450E2"/>
    <w:rsid w:val="00546895"/>
    <w:rsid w:val="00546AB4"/>
    <w:rsid w:val="005514E5"/>
    <w:rsid w:val="00563C84"/>
    <w:rsid w:val="005762F6"/>
    <w:rsid w:val="00584FBE"/>
    <w:rsid w:val="00585483"/>
    <w:rsid w:val="00587378"/>
    <w:rsid w:val="00587C05"/>
    <w:rsid w:val="00590AAB"/>
    <w:rsid w:val="005938C3"/>
    <w:rsid w:val="0059468C"/>
    <w:rsid w:val="00595125"/>
    <w:rsid w:val="00596F21"/>
    <w:rsid w:val="005A66B6"/>
    <w:rsid w:val="005B08BA"/>
    <w:rsid w:val="005B1CDD"/>
    <w:rsid w:val="005B1E19"/>
    <w:rsid w:val="005B55FC"/>
    <w:rsid w:val="005B5FEF"/>
    <w:rsid w:val="005C2D5E"/>
    <w:rsid w:val="005C3B81"/>
    <w:rsid w:val="005C650C"/>
    <w:rsid w:val="005D086C"/>
    <w:rsid w:val="005D11D3"/>
    <w:rsid w:val="005D4E1F"/>
    <w:rsid w:val="005D4FB3"/>
    <w:rsid w:val="005E2F07"/>
    <w:rsid w:val="005E2FEA"/>
    <w:rsid w:val="005E423D"/>
    <w:rsid w:val="005F15F3"/>
    <w:rsid w:val="005F314B"/>
    <w:rsid w:val="00611AF2"/>
    <w:rsid w:val="0061212B"/>
    <w:rsid w:val="006127AF"/>
    <w:rsid w:val="00613A98"/>
    <w:rsid w:val="00615FB2"/>
    <w:rsid w:val="00617BD1"/>
    <w:rsid w:val="00617CE8"/>
    <w:rsid w:val="0062500A"/>
    <w:rsid w:val="006278A0"/>
    <w:rsid w:val="0063095F"/>
    <w:rsid w:val="00631CBD"/>
    <w:rsid w:val="0063704F"/>
    <w:rsid w:val="00641FCC"/>
    <w:rsid w:val="00646AC2"/>
    <w:rsid w:val="00650390"/>
    <w:rsid w:val="00654DAB"/>
    <w:rsid w:val="006579DF"/>
    <w:rsid w:val="0066204A"/>
    <w:rsid w:val="00670C97"/>
    <w:rsid w:val="00670E3C"/>
    <w:rsid w:val="00677F57"/>
    <w:rsid w:val="00681088"/>
    <w:rsid w:val="00690D84"/>
    <w:rsid w:val="0069577E"/>
    <w:rsid w:val="0069634B"/>
    <w:rsid w:val="00696623"/>
    <w:rsid w:val="006A04E9"/>
    <w:rsid w:val="006A2816"/>
    <w:rsid w:val="006A4A03"/>
    <w:rsid w:val="006A7543"/>
    <w:rsid w:val="006B1944"/>
    <w:rsid w:val="006B33FB"/>
    <w:rsid w:val="006B725C"/>
    <w:rsid w:val="006C273D"/>
    <w:rsid w:val="006C42A2"/>
    <w:rsid w:val="006C5C4F"/>
    <w:rsid w:val="006C6282"/>
    <w:rsid w:val="006C762A"/>
    <w:rsid w:val="006D1E57"/>
    <w:rsid w:val="006D41A7"/>
    <w:rsid w:val="006D5FF9"/>
    <w:rsid w:val="006E0772"/>
    <w:rsid w:val="006E0F86"/>
    <w:rsid w:val="006F0B15"/>
    <w:rsid w:val="006F0DCC"/>
    <w:rsid w:val="00703DF9"/>
    <w:rsid w:val="007048EB"/>
    <w:rsid w:val="00704FBB"/>
    <w:rsid w:val="0070726A"/>
    <w:rsid w:val="0071226B"/>
    <w:rsid w:val="00717040"/>
    <w:rsid w:val="00722DFE"/>
    <w:rsid w:val="0072348F"/>
    <w:rsid w:val="007275EF"/>
    <w:rsid w:val="00740470"/>
    <w:rsid w:val="0075429F"/>
    <w:rsid w:val="007622A7"/>
    <w:rsid w:val="007709B8"/>
    <w:rsid w:val="007750A2"/>
    <w:rsid w:val="007817D6"/>
    <w:rsid w:val="0078185B"/>
    <w:rsid w:val="00781E1C"/>
    <w:rsid w:val="00787912"/>
    <w:rsid w:val="00790303"/>
    <w:rsid w:val="0079177A"/>
    <w:rsid w:val="00794836"/>
    <w:rsid w:val="007948D5"/>
    <w:rsid w:val="00796EA0"/>
    <w:rsid w:val="007A15C9"/>
    <w:rsid w:val="007A340A"/>
    <w:rsid w:val="007A3915"/>
    <w:rsid w:val="007A6676"/>
    <w:rsid w:val="007B7FF5"/>
    <w:rsid w:val="007C17E5"/>
    <w:rsid w:val="007C3FC6"/>
    <w:rsid w:val="007D2CE9"/>
    <w:rsid w:val="007D4FED"/>
    <w:rsid w:val="007D69DA"/>
    <w:rsid w:val="007D70B1"/>
    <w:rsid w:val="007D7140"/>
    <w:rsid w:val="007D7C1D"/>
    <w:rsid w:val="007E1CDB"/>
    <w:rsid w:val="007E408C"/>
    <w:rsid w:val="007E50BF"/>
    <w:rsid w:val="007E7E21"/>
    <w:rsid w:val="007F0460"/>
    <w:rsid w:val="007F0DA2"/>
    <w:rsid w:val="007F39CE"/>
    <w:rsid w:val="007F5E0D"/>
    <w:rsid w:val="00801085"/>
    <w:rsid w:val="00801A89"/>
    <w:rsid w:val="00804457"/>
    <w:rsid w:val="00804B96"/>
    <w:rsid w:val="0080698D"/>
    <w:rsid w:val="008101D3"/>
    <w:rsid w:val="00812138"/>
    <w:rsid w:val="008151F2"/>
    <w:rsid w:val="0081777A"/>
    <w:rsid w:val="00817B8D"/>
    <w:rsid w:val="008210E0"/>
    <w:rsid w:val="00824079"/>
    <w:rsid w:val="00831F0A"/>
    <w:rsid w:val="00833A78"/>
    <w:rsid w:val="00840F00"/>
    <w:rsid w:val="0084585F"/>
    <w:rsid w:val="00853E53"/>
    <w:rsid w:val="0085535C"/>
    <w:rsid w:val="00864D76"/>
    <w:rsid w:val="008656C9"/>
    <w:rsid w:val="0086711C"/>
    <w:rsid w:val="00867535"/>
    <w:rsid w:val="00875C5B"/>
    <w:rsid w:val="0087787F"/>
    <w:rsid w:val="00882CFA"/>
    <w:rsid w:val="00883C5F"/>
    <w:rsid w:val="00891C7D"/>
    <w:rsid w:val="00892FA7"/>
    <w:rsid w:val="008938B5"/>
    <w:rsid w:val="00897ED7"/>
    <w:rsid w:val="008A3301"/>
    <w:rsid w:val="008A4DF1"/>
    <w:rsid w:val="008A5636"/>
    <w:rsid w:val="008B125E"/>
    <w:rsid w:val="008B241C"/>
    <w:rsid w:val="008B408B"/>
    <w:rsid w:val="008B4F11"/>
    <w:rsid w:val="008B6D33"/>
    <w:rsid w:val="008C2362"/>
    <w:rsid w:val="008C3049"/>
    <w:rsid w:val="008C6F5E"/>
    <w:rsid w:val="008C74D9"/>
    <w:rsid w:val="008D1CCD"/>
    <w:rsid w:val="008D4AE9"/>
    <w:rsid w:val="008D5CF3"/>
    <w:rsid w:val="008D7D39"/>
    <w:rsid w:val="008E4574"/>
    <w:rsid w:val="008E4AFE"/>
    <w:rsid w:val="008E6A0C"/>
    <w:rsid w:val="008F4016"/>
    <w:rsid w:val="008F42FE"/>
    <w:rsid w:val="008F4A00"/>
    <w:rsid w:val="008F5402"/>
    <w:rsid w:val="008F785A"/>
    <w:rsid w:val="0090053A"/>
    <w:rsid w:val="00901C2A"/>
    <w:rsid w:val="009118C7"/>
    <w:rsid w:val="009168E2"/>
    <w:rsid w:val="009225B6"/>
    <w:rsid w:val="00925397"/>
    <w:rsid w:val="00933A21"/>
    <w:rsid w:val="00934C10"/>
    <w:rsid w:val="009354B2"/>
    <w:rsid w:val="0093662A"/>
    <w:rsid w:val="0094060C"/>
    <w:rsid w:val="00942C4B"/>
    <w:rsid w:val="00944196"/>
    <w:rsid w:val="00945736"/>
    <w:rsid w:val="00957781"/>
    <w:rsid w:val="009606A5"/>
    <w:rsid w:val="00962F1F"/>
    <w:rsid w:val="00965304"/>
    <w:rsid w:val="0096616F"/>
    <w:rsid w:val="00967976"/>
    <w:rsid w:val="00971293"/>
    <w:rsid w:val="00973A3B"/>
    <w:rsid w:val="00983EAE"/>
    <w:rsid w:val="0098760B"/>
    <w:rsid w:val="009921AB"/>
    <w:rsid w:val="00992856"/>
    <w:rsid w:val="009A11DD"/>
    <w:rsid w:val="009A7239"/>
    <w:rsid w:val="009A7434"/>
    <w:rsid w:val="009B30AA"/>
    <w:rsid w:val="009B5217"/>
    <w:rsid w:val="009B5812"/>
    <w:rsid w:val="009C48DE"/>
    <w:rsid w:val="009D60D9"/>
    <w:rsid w:val="009E1E1E"/>
    <w:rsid w:val="009E33E3"/>
    <w:rsid w:val="009E7F16"/>
    <w:rsid w:val="009F1E65"/>
    <w:rsid w:val="009F5052"/>
    <w:rsid w:val="009F78FC"/>
    <w:rsid w:val="00A03083"/>
    <w:rsid w:val="00A04C85"/>
    <w:rsid w:val="00A100F0"/>
    <w:rsid w:val="00A156E6"/>
    <w:rsid w:val="00A177C5"/>
    <w:rsid w:val="00A2403E"/>
    <w:rsid w:val="00A27D86"/>
    <w:rsid w:val="00A30A3D"/>
    <w:rsid w:val="00A33151"/>
    <w:rsid w:val="00A3317C"/>
    <w:rsid w:val="00A341A4"/>
    <w:rsid w:val="00A36970"/>
    <w:rsid w:val="00A41EB4"/>
    <w:rsid w:val="00A41F84"/>
    <w:rsid w:val="00A44BFF"/>
    <w:rsid w:val="00A501E3"/>
    <w:rsid w:val="00A50F0C"/>
    <w:rsid w:val="00A5181D"/>
    <w:rsid w:val="00A56441"/>
    <w:rsid w:val="00A66794"/>
    <w:rsid w:val="00A670AF"/>
    <w:rsid w:val="00A736DD"/>
    <w:rsid w:val="00A82869"/>
    <w:rsid w:val="00A8758C"/>
    <w:rsid w:val="00A94003"/>
    <w:rsid w:val="00AA127E"/>
    <w:rsid w:val="00AA19AE"/>
    <w:rsid w:val="00AA423D"/>
    <w:rsid w:val="00AA5798"/>
    <w:rsid w:val="00AA6A95"/>
    <w:rsid w:val="00AB0876"/>
    <w:rsid w:val="00AB10DE"/>
    <w:rsid w:val="00AB3668"/>
    <w:rsid w:val="00AB4BF8"/>
    <w:rsid w:val="00AB5ED7"/>
    <w:rsid w:val="00AC0B4C"/>
    <w:rsid w:val="00AD0AEE"/>
    <w:rsid w:val="00AD49E3"/>
    <w:rsid w:val="00AD4B4F"/>
    <w:rsid w:val="00AD5EED"/>
    <w:rsid w:val="00AE1808"/>
    <w:rsid w:val="00AF0616"/>
    <w:rsid w:val="00AF0E28"/>
    <w:rsid w:val="00AF6F9B"/>
    <w:rsid w:val="00B01409"/>
    <w:rsid w:val="00B034E2"/>
    <w:rsid w:val="00B06E62"/>
    <w:rsid w:val="00B10DBD"/>
    <w:rsid w:val="00B15629"/>
    <w:rsid w:val="00B16F23"/>
    <w:rsid w:val="00B2372C"/>
    <w:rsid w:val="00B32F70"/>
    <w:rsid w:val="00B33BDC"/>
    <w:rsid w:val="00B373D0"/>
    <w:rsid w:val="00B379C8"/>
    <w:rsid w:val="00B43AAA"/>
    <w:rsid w:val="00B45D42"/>
    <w:rsid w:val="00B53139"/>
    <w:rsid w:val="00B562CE"/>
    <w:rsid w:val="00B62DE2"/>
    <w:rsid w:val="00B72E62"/>
    <w:rsid w:val="00B74417"/>
    <w:rsid w:val="00B77246"/>
    <w:rsid w:val="00B866CD"/>
    <w:rsid w:val="00B90C19"/>
    <w:rsid w:val="00B91EDD"/>
    <w:rsid w:val="00B93034"/>
    <w:rsid w:val="00B93A81"/>
    <w:rsid w:val="00B97C5D"/>
    <w:rsid w:val="00BA1290"/>
    <w:rsid w:val="00BA372B"/>
    <w:rsid w:val="00BB2792"/>
    <w:rsid w:val="00BB6961"/>
    <w:rsid w:val="00BB76BF"/>
    <w:rsid w:val="00BC1AD1"/>
    <w:rsid w:val="00BC1D82"/>
    <w:rsid w:val="00BC4499"/>
    <w:rsid w:val="00BC4A58"/>
    <w:rsid w:val="00BC4D8C"/>
    <w:rsid w:val="00BC613B"/>
    <w:rsid w:val="00BD51D9"/>
    <w:rsid w:val="00BD5408"/>
    <w:rsid w:val="00BD5A95"/>
    <w:rsid w:val="00BD64E2"/>
    <w:rsid w:val="00BE1A02"/>
    <w:rsid w:val="00BE305E"/>
    <w:rsid w:val="00BE4995"/>
    <w:rsid w:val="00BF429A"/>
    <w:rsid w:val="00BF62BE"/>
    <w:rsid w:val="00C02DAA"/>
    <w:rsid w:val="00C07126"/>
    <w:rsid w:val="00C16853"/>
    <w:rsid w:val="00C263F0"/>
    <w:rsid w:val="00C30622"/>
    <w:rsid w:val="00C33D41"/>
    <w:rsid w:val="00C40AFD"/>
    <w:rsid w:val="00C41E20"/>
    <w:rsid w:val="00C42E3E"/>
    <w:rsid w:val="00C43FE8"/>
    <w:rsid w:val="00C44038"/>
    <w:rsid w:val="00C50818"/>
    <w:rsid w:val="00C51C13"/>
    <w:rsid w:val="00C525A5"/>
    <w:rsid w:val="00C5300F"/>
    <w:rsid w:val="00C542A8"/>
    <w:rsid w:val="00C54594"/>
    <w:rsid w:val="00C66CE0"/>
    <w:rsid w:val="00C71BED"/>
    <w:rsid w:val="00C7354A"/>
    <w:rsid w:val="00C737B2"/>
    <w:rsid w:val="00C81B53"/>
    <w:rsid w:val="00C82AD2"/>
    <w:rsid w:val="00C8546B"/>
    <w:rsid w:val="00C90FB6"/>
    <w:rsid w:val="00C91583"/>
    <w:rsid w:val="00C9220E"/>
    <w:rsid w:val="00C932BD"/>
    <w:rsid w:val="00C93429"/>
    <w:rsid w:val="00CA16C5"/>
    <w:rsid w:val="00CA3883"/>
    <w:rsid w:val="00CA415A"/>
    <w:rsid w:val="00CA7A35"/>
    <w:rsid w:val="00CB1536"/>
    <w:rsid w:val="00CB7FB8"/>
    <w:rsid w:val="00CC1F71"/>
    <w:rsid w:val="00CC47D9"/>
    <w:rsid w:val="00CC523C"/>
    <w:rsid w:val="00CC5588"/>
    <w:rsid w:val="00CC5EB3"/>
    <w:rsid w:val="00CC743D"/>
    <w:rsid w:val="00CD0E7B"/>
    <w:rsid w:val="00CD2553"/>
    <w:rsid w:val="00CD293B"/>
    <w:rsid w:val="00CD2ABD"/>
    <w:rsid w:val="00CD4024"/>
    <w:rsid w:val="00CD4617"/>
    <w:rsid w:val="00CD4855"/>
    <w:rsid w:val="00CE6209"/>
    <w:rsid w:val="00CE6D43"/>
    <w:rsid w:val="00CE7888"/>
    <w:rsid w:val="00CF3923"/>
    <w:rsid w:val="00D033DB"/>
    <w:rsid w:val="00D10E1C"/>
    <w:rsid w:val="00D161A3"/>
    <w:rsid w:val="00D22E49"/>
    <w:rsid w:val="00D23716"/>
    <w:rsid w:val="00D25ED8"/>
    <w:rsid w:val="00D27F8F"/>
    <w:rsid w:val="00D316B8"/>
    <w:rsid w:val="00D31CFC"/>
    <w:rsid w:val="00D3255D"/>
    <w:rsid w:val="00D340C3"/>
    <w:rsid w:val="00D409CD"/>
    <w:rsid w:val="00D423D4"/>
    <w:rsid w:val="00D42CAF"/>
    <w:rsid w:val="00D5310F"/>
    <w:rsid w:val="00D601EF"/>
    <w:rsid w:val="00D61533"/>
    <w:rsid w:val="00D63B2F"/>
    <w:rsid w:val="00D63BD8"/>
    <w:rsid w:val="00D70747"/>
    <w:rsid w:val="00D7261D"/>
    <w:rsid w:val="00D755FC"/>
    <w:rsid w:val="00D76B6D"/>
    <w:rsid w:val="00D84D07"/>
    <w:rsid w:val="00D8526A"/>
    <w:rsid w:val="00D90E91"/>
    <w:rsid w:val="00D94CAF"/>
    <w:rsid w:val="00DB60E1"/>
    <w:rsid w:val="00DC1347"/>
    <w:rsid w:val="00DC39F1"/>
    <w:rsid w:val="00DC6960"/>
    <w:rsid w:val="00DE4B35"/>
    <w:rsid w:val="00DE7C45"/>
    <w:rsid w:val="00DF19C1"/>
    <w:rsid w:val="00DF54CA"/>
    <w:rsid w:val="00DF56C9"/>
    <w:rsid w:val="00DF5B64"/>
    <w:rsid w:val="00DF6840"/>
    <w:rsid w:val="00E01608"/>
    <w:rsid w:val="00E02794"/>
    <w:rsid w:val="00E03B17"/>
    <w:rsid w:val="00E03EA3"/>
    <w:rsid w:val="00E043E3"/>
    <w:rsid w:val="00E0505B"/>
    <w:rsid w:val="00E11280"/>
    <w:rsid w:val="00E12359"/>
    <w:rsid w:val="00E152FF"/>
    <w:rsid w:val="00E23A48"/>
    <w:rsid w:val="00E2461B"/>
    <w:rsid w:val="00E24886"/>
    <w:rsid w:val="00E276FB"/>
    <w:rsid w:val="00E32595"/>
    <w:rsid w:val="00E32DC6"/>
    <w:rsid w:val="00E33A74"/>
    <w:rsid w:val="00E4030B"/>
    <w:rsid w:val="00E40F34"/>
    <w:rsid w:val="00E41D56"/>
    <w:rsid w:val="00E457DF"/>
    <w:rsid w:val="00E46642"/>
    <w:rsid w:val="00E5139A"/>
    <w:rsid w:val="00E5413D"/>
    <w:rsid w:val="00E5447A"/>
    <w:rsid w:val="00E57977"/>
    <w:rsid w:val="00E635D7"/>
    <w:rsid w:val="00E670BD"/>
    <w:rsid w:val="00E70576"/>
    <w:rsid w:val="00E71208"/>
    <w:rsid w:val="00E71DED"/>
    <w:rsid w:val="00E740AA"/>
    <w:rsid w:val="00E82D0D"/>
    <w:rsid w:val="00E83954"/>
    <w:rsid w:val="00E86506"/>
    <w:rsid w:val="00E905FC"/>
    <w:rsid w:val="00E91730"/>
    <w:rsid w:val="00E96F04"/>
    <w:rsid w:val="00E97AEC"/>
    <w:rsid w:val="00E97E0E"/>
    <w:rsid w:val="00EA20FE"/>
    <w:rsid w:val="00EB491E"/>
    <w:rsid w:val="00EB681B"/>
    <w:rsid w:val="00EC4FAD"/>
    <w:rsid w:val="00EE3CFA"/>
    <w:rsid w:val="00EE69E4"/>
    <w:rsid w:val="00EF2A7F"/>
    <w:rsid w:val="00EF7E90"/>
    <w:rsid w:val="00F002B6"/>
    <w:rsid w:val="00F02ED0"/>
    <w:rsid w:val="00F04103"/>
    <w:rsid w:val="00F10AFE"/>
    <w:rsid w:val="00F15C6C"/>
    <w:rsid w:val="00F17173"/>
    <w:rsid w:val="00F20987"/>
    <w:rsid w:val="00F224DC"/>
    <w:rsid w:val="00F2567A"/>
    <w:rsid w:val="00F2687F"/>
    <w:rsid w:val="00F26A5E"/>
    <w:rsid w:val="00F27F29"/>
    <w:rsid w:val="00F31A96"/>
    <w:rsid w:val="00F32D54"/>
    <w:rsid w:val="00F36C54"/>
    <w:rsid w:val="00F418EA"/>
    <w:rsid w:val="00F41A29"/>
    <w:rsid w:val="00F44C1C"/>
    <w:rsid w:val="00F518DF"/>
    <w:rsid w:val="00F544DB"/>
    <w:rsid w:val="00F61F92"/>
    <w:rsid w:val="00F62668"/>
    <w:rsid w:val="00F648EA"/>
    <w:rsid w:val="00F6502E"/>
    <w:rsid w:val="00F65663"/>
    <w:rsid w:val="00F67E6E"/>
    <w:rsid w:val="00F75147"/>
    <w:rsid w:val="00F756C0"/>
    <w:rsid w:val="00F75A40"/>
    <w:rsid w:val="00F77637"/>
    <w:rsid w:val="00F8435D"/>
    <w:rsid w:val="00F862E5"/>
    <w:rsid w:val="00F87DD0"/>
    <w:rsid w:val="00F93360"/>
    <w:rsid w:val="00F93FE4"/>
    <w:rsid w:val="00F97E4E"/>
    <w:rsid w:val="00FA1A40"/>
    <w:rsid w:val="00FA217B"/>
    <w:rsid w:val="00FB0BC5"/>
    <w:rsid w:val="00FB0BCC"/>
    <w:rsid w:val="00FC0FE5"/>
    <w:rsid w:val="00FC35C5"/>
    <w:rsid w:val="00FD1ABC"/>
    <w:rsid w:val="00FD7DDF"/>
    <w:rsid w:val="00FE4C92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;"/>
  <w14:docId w14:val="6194679C"/>
  <w15:docId w15:val="{C3B52232-EF58-4BCC-9962-E30A27BA2202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PT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0BF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7E50BF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7E50BF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7E50BF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E50BF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E50BF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50BF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E50BF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50BF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50BF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pt-PT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pt-PT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pt-PT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pt-PT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pt-PT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pt-PT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pt-PT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pt-PT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pt-PT" w:eastAsia="en-US" w:bidi="ar-SA"/>
    </w:rPr>
  </w:style>
  <w:style w:type="paragraph" w:styleId="Footer">
    <w:name w:val="footer"/>
    <w:basedOn w:val="Normal"/>
    <w:link w:val="FooterChar"/>
    <w:qFormat/>
    <w:rsid w:val="007E50BF"/>
  </w:style>
  <w:style w:type="character" w:customStyle="1" w:styleId="FooterChar">
    <w:name w:val="Footer Char"/>
    <w:basedOn w:val="DefaultParagraphFont"/>
    <w:link w:val="Footer"/>
    <w:locked/>
    <w:rsid w:val="00CB1536"/>
    <w:rPr>
      <w:lang w:eastAsia="en-US" w:bidi="ar-SA"/>
    </w:rPr>
  </w:style>
  <w:style w:type="paragraph" w:styleId="FootnoteText">
    <w:name w:val="footnote text"/>
    <w:basedOn w:val="Normal"/>
    <w:link w:val="FootnoteTextChar"/>
    <w:qFormat/>
    <w:rsid w:val="007E50BF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locked/>
    <w:rsid w:val="00CB1536"/>
    <w:rPr>
      <w:sz w:val="16"/>
      <w:lang w:val="pt-PT" w:eastAsia="en-US" w:bidi="ar-SA"/>
    </w:rPr>
  </w:style>
  <w:style w:type="paragraph" w:styleId="Header">
    <w:name w:val="header"/>
    <w:basedOn w:val="Normal"/>
    <w:link w:val="HeaderChar"/>
    <w:qFormat/>
    <w:rsid w:val="007E50BF"/>
  </w:style>
  <w:style w:type="character" w:customStyle="1" w:styleId="HeaderChar">
    <w:name w:val="Header Char"/>
    <w:basedOn w:val="DefaultParagraphFont"/>
    <w:link w:val="Header"/>
    <w:locked/>
    <w:rsid w:val="00CB1536"/>
    <w:rPr>
      <w:lang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7E50BF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styleId="BalloonText">
    <w:name w:val="Balloon Text"/>
    <w:basedOn w:val="Normal"/>
    <w:link w:val="BalloonTextChar"/>
    <w:uiPriority w:val="99"/>
    <w:semiHidden/>
    <w:unhideWhenUsed/>
    <w:rsid w:val="007E50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BF"/>
    <w:rPr>
      <w:rFonts w:ascii="Tahoma" w:hAnsi="Tahoma" w:cs="Tahoma"/>
      <w:sz w:val="16"/>
      <w:szCs w:val="16"/>
      <w:lang w:val="pt-PT" w:eastAsia="en-US" w:bidi="ar-SA"/>
    </w:rPr>
  </w:style>
  <w:style w:type="paragraph" w:customStyle="1" w:styleId="quotes">
    <w:name w:val="quotes"/>
    <w:basedOn w:val="Normal"/>
    <w:next w:val="Normal"/>
    <w:rsid w:val="007E50BF"/>
    <w:pPr>
      <w:ind w:left="720"/>
    </w:pPr>
    <w:rPr>
      <w:i/>
    </w:rPr>
  </w:style>
  <w:style w:type="paragraph" w:styleId="NormalWeb">
    <w:name w:val="Normal (Web)"/>
    <w:basedOn w:val="Normal"/>
    <w:uiPriority w:val="99"/>
    <w:unhideWhenUsed/>
    <w:rsid w:val="00A41F84"/>
    <w:pPr>
      <w:spacing w:before="100" w:beforeAutospacing="1" w:after="100" w:afterAutospacing="1" w:line="240" w:lineRule="auto"/>
      <w:jc w:val="left"/>
    </w:pPr>
    <w:rPr>
      <w:sz w:val="24"/>
      <w:szCs w:val="24"/>
      <w:lang w:eastAsia="en-GB"/>
    </w:rPr>
  </w:style>
  <w:style w:type="character" w:customStyle="1" w:styleId="tlid-translation">
    <w:name w:val="tlid-translation"/>
    <w:basedOn w:val="DefaultParagraphFont"/>
    <w:rsid w:val="000B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923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T/TXT/?uri=CELEX:52020PC0595&amp;qid=1605625322451" TargetMode="External"/><Relationship Id="rId3" Type="http://schemas.openxmlformats.org/officeDocument/2006/relationships/hyperlink" Target="https://eur-lex.europa.eu/legal-content/PT/TXT/?uri=CELEX:52020PC0593&amp;qid=1605625281051" TargetMode="External"/><Relationship Id="rId7" Type="http://schemas.openxmlformats.org/officeDocument/2006/relationships/hyperlink" Target="https://eur-lex.europa.eu/legal-content/PT/TXT/?uri=CELEX:52020AE1042&amp;qid=1601415540830" TargetMode="External"/><Relationship Id="rId2" Type="http://schemas.openxmlformats.org/officeDocument/2006/relationships/hyperlink" Target="https://eur-lex.europa.eu/legal-content/PT/TXT/?uri=COM:2020:0592:FIN" TargetMode="External"/><Relationship Id="rId1" Type="http://schemas.openxmlformats.org/officeDocument/2006/relationships/hyperlink" Target="https://eur-lex.europa.eu/legal-content/PT/TXT/?uri=CELEX:52020DC0591" TargetMode="External"/><Relationship Id="rId6" Type="http://schemas.openxmlformats.org/officeDocument/2006/relationships/hyperlink" Target="https://eur-lex.europa.eu/legal-content/PT/TXT/?uri=CELEX:52020PC0596&amp;qid=1605625359281" TargetMode="External"/><Relationship Id="rId5" Type="http://schemas.openxmlformats.org/officeDocument/2006/relationships/hyperlink" Target="https://eur-lex.europa.eu/legal-content/PT/TXT/?uri=CELEX:52020PC0595&amp;qid=1605625322451" TargetMode="External"/><Relationship Id="rId4" Type="http://schemas.openxmlformats.org/officeDocument/2006/relationships/hyperlink" Target="https://eur-lex.europa.eu/legal-content/PT/TXT/?uri=CELEX:52020PC0594" TargetMode="External"/><Relationship Id="rId9" Type="http://schemas.openxmlformats.org/officeDocument/2006/relationships/hyperlink" Target="https://www.eesc.europa.eu/pt/our-work/opinions-information-reports/opinions/digital-operational-resilience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5" ma:contentTypeDescription="Defines the documents for Document Manager V2" ma:contentTypeScope="" ma:versionID="0d91993552fe3556fbffcde22d41e5eb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8ecbf314780697a2217be5444707e891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VV634QRNENMJ-592872750-7273</_dlc_DocId>
    <_dlc_DocIdUrl xmlns="cda99570-6012-4083-bfeb-7d32ad1ce1a3">
      <Url>http://dm2016/eesc/2020/_layouts/15/DocIdRedir.aspx?ID=VV634QRNENMJ-592872750-7273</Url>
      <Description>VV634QRNENMJ-592872750-7273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2021-03-01T12:00:00+00:00</ProductionDate>
    <FicheYear xmlns="cda99570-6012-4083-bfeb-7d32ad1ce1a3">2020</FicheYear>
    <DocumentNumber xmlns="fe314fe7-af03-4a89-9224-0704990312b2">4935</DocumentNumber>
    <DocumentVersion xmlns="cda99570-6012-4083-bfeb-7d32ad1ce1a3">0</DocumentVersion>
    <DossierNumber xmlns="cda99570-6012-4083-bfeb-7d32ad1ce1a3">534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80</Value>
      <Value>70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</Terms>
    </DocumentLanguage_0>
    <Rapporteur xmlns="cda99570-6012-4083-bfeb-7d32ad1ce1a3">DANDEA &amp; FRANK VON FÜRSTENWERTH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1570</FicheNumber>
    <DocumentPart xmlns="cda99570-6012-4083-bfeb-7d32ad1ce1a3">0</DocumentPart>
    <AdoptionDate xmlns="cda99570-6012-4083-bfeb-7d32ad1ce1a3">2021-02-24T12:00:00+00:00</AdoptionDate>
    <RequestingService xmlns="cda99570-6012-4083-bfeb-7d32ad1ce1a3">Union économique et monétaire et cohésion économique et sociale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ECO</TermName>
          <TermId xmlns="http://schemas.microsoft.com/office/infopath/2007/PartnerControls">8df351f5-c957-404c-8cf3-8ffb22c9cba2</TermId>
        </TermInfo>
      </Terms>
    </DossierName_0>
    <OriginalSender xmlns="cda99570-6012-4083-bfeb-7d32ad1ce1a3">
      <UserInfo>
        <DisplayName/>
        <AccountId xsi:nil="true"/>
        <AccountType/>
      </UserInfo>
    </OriginalSender>
  </documentManagement>
</p:properties>
</file>

<file path=customXml/itemProps1.xml><?xml version="1.0" encoding="utf-8"?>
<ds:datastoreItem xmlns:ds="http://schemas.openxmlformats.org/officeDocument/2006/customXml" ds:itemID="{F90FE10E-80AE-453E-B0E0-273A9C799390}"/>
</file>

<file path=customXml/itemProps2.xml><?xml version="1.0" encoding="utf-8"?>
<ds:datastoreItem xmlns:ds="http://schemas.openxmlformats.org/officeDocument/2006/customXml" ds:itemID="{E0235349-81C2-43FC-8DBF-064A078585EC}"/>
</file>

<file path=customXml/itemProps3.xml><?xml version="1.0" encoding="utf-8"?>
<ds:datastoreItem xmlns:ds="http://schemas.openxmlformats.org/officeDocument/2006/customXml" ds:itemID="{6D1FDBA3-A3E1-4EC8-A964-5F5AB6034BC5}"/>
</file>

<file path=customXml/itemProps4.xml><?xml version="1.0" encoding="utf-8"?>
<ds:datastoreItem xmlns:ds="http://schemas.openxmlformats.org/officeDocument/2006/customXml" ds:itemID="{768087F7-5BC9-464B-AA75-B299BC4FE7B8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7</Pages>
  <Words>2191</Words>
  <Characters>11836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Digital Finance Strategy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Estratégia em matéria de Financiamento Digital</dc:title>
  <dc:subject>Parecer do Comité</dc:subject>
  <dc:creator>Tomas Vocasek</dc:creator>
  <cp:keywords>EESC-2020-04935-00-00-AC-TRA-EN</cp:keywords>
  <dc:description>Rapporteur: DANDEA &amp; FRANK VON FÜRSTENWERTH - Original language: EN - Date of document: 01/03/2021 - Date of meeting:  - External documents: COM(2020)591-final - Administrator: M. KLEC Gerald</dc:description>
  <cp:lastModifiedBy>Carvalhinha De Matos Torres Ana</cp:lastModifiedBy>
  <cp:revision>6</cp:revision>
  <cp:lastPrinted>2016-01-26T08:31:00Z</cp:lastPrinted>
  <dcterms:created xsi:type="dcterms:W3CDTF">2021-03-01T07:31:00Z</dcterms:created>
  <dcterms:modified xsi:type="dcterms:W3CDTF">2021-03-01T08:11:00Z</dcterms:modified>
  <cp:category>ECO/534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01/03/2021, 01/03/2021, 15/02/2021, 15/02/2021, 22/01/2021, 23/12/2020, 18/11/2020, 04/11/2015, 27/10/2015, 19/10/2015, 09/10/2015, 05/10/2015, 05/10/2015, 26/08/2015, 26/08/2015, 25/08/2015</vt:lpwstr>
  </property>
  <property fmtid="{D5CDD505-2E9C-101B-9397-08002B2CF9AE}" pid="4" name="Pref_Time">
    <vt:lpwstr>08:30:24, 07:50:27, 15:23:31, 15:13:12, 16:30:18, 09:06:56, 15:35:38, 12:10:07, 14:44:02, 16:04:16, 14:09:30, 16:24:55, 16:04:02, 08:56:14, 07:27:56, 17:31:53</vt:lpwstr>
  </property>
  <property fmtid="{D5CDD505-2E9C-101B-9397-08002B2CF9AE}" pid="5" name="Pref_User">
    <vt:lpwstr>enied, YMUR, enied, YMUR, hnic, enied, mkop, ssex, enied, amett, tvoc, mreg, mreg, amett, enied, ssex</vt:lpwstr>
  </property>
  <property fmtid="{D5CDD505-2E9C-101B-9397-08002B2CF9AE}" pid="6" name="Pref_FileName">
    <vt:lpwstr>EESC-2020-04935-00-00-AC-TRA-EN-CRR.docx, EESC-2020-04935-00-00-AC-CRR-EN.docx, EESC-2020-04935-00-00-AS-TRA-EN-CRR.docx, EESC-2020-04935-00-00-AS-CRR-EN.docx, EESC-2020-04935-00-00-PA-ORI.docx, EESC-2020-04935-00-00-APA-ORI.docx, EESC-2020-04935-00-00-DT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3e0e5b35-3325-4eca-9b58-6b379e642c11</vt:lpwstr>
  </property>
  <property fmtid="{D5CDD505-2E9C-101B-9397-08002B2CF9AE}" pid="9" name="AvailableTranslations">
    <vt:lpwstr>46;#SK|46d9fce0-ef79-4f71-b89b-cd6aa82426b8;#40;#SV|c2ed69e7-a339-43d7-8f22-d93680a92aa0;#13;#IT|0774613c-01ed-4e5d-a25d-11d2388de825;#44;#BG|1a1b3951-7821-4e6a-85f5-5673fc08bd2c;#32;#DA|5d49c027-8956-412b-aa16-e85a0f96ad0e;#47;#ET|ff6c3f4c-b02c-4c3c-ab07-2c37995a7a0a;#4;#EN|f2175f21-25d7-44a3-96da-d6a61b075e1b;#48;#RO|feb747a2-64cd-4299-af12-4833ddc30497;#10;#DE|f6b31e5a-26fa-4935-b661-318e46daf27e;#45;#FI|87606a43-d45f-42d6-b8c9-e1a3457db5b7;#36;#MT|7df99101-6854-4a26-b53a-b88c0da02c26;#9;#PL|1e03da61-4678-4e07-b136-b5024ca9197b;#31;#CS|72f9705b-0217-4fd3-bea2-cbc7ed80e26e;#29;#PT|50ccc04a-eadd-42ae-a0cb-acaf45f812ba;#30;#LT|a7ff5ce7-6123-4f68-865a-a57c31810414;#39;#HU|6b229040-c589-4408-b4c1-4285663d20a8;#43;#HR|2f555653-ed1a-4fe6-8362-9082d95989e5;#16;#ES|e7a6b05b-ae16-40c8-add9-68b64b03aeba;#41;#NL|55c6556c-b4f4-441d-9acf-c498d4f838bd;#24;#LV|46f7e311-5d9f-4663-b433-18aeccb7ace7;#38;#EL|6d4f4d51-af9b-4650-94b4-4276bee85c91;#11;#FR|d2afafd3-4c81-4f60-8f52-ee33f2f54ff3;#34;#SL|98a412ae-eb01-49e9-ae3d-585a81724cfc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ECO|8df351f5-c957-404c-8cf3-8ffb22c9cba2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4935</vt:i4>
  </property>
  <property fmtid="{D5CDD505-2E9C-101B-9397-08002B2CF9AE}" pid="14" name="FicheYear">
    <vt:i4>2020</vt:i4>
  </property>
  <property fmtid="{D5CDD505-2E9C-101B-9397-08002B2CF9AE}" pid="15" name="DocumentVersion">
    <vt:i4>0</vt:i4>
  </property>
  <property fmtid="{D5CDD505-2E9C-101B-9397-08002B2CF9AE}" pid="16" name="DossierNumber">
    <vt:i4>534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80;#ECO|8df351f5-c957-404c-8cf3-8ffb22c9cba2</vt:lpwstr>
  </property>
  <property fmtid="{D5CDD505-2E9C-101B-9397-08002B2CF9AE}" pid="20" name="DocumentSource">
    <vt:lpwstr>1;#EESC|422833ec-8d7e-4e65-8e4e-8bed07ffb729</vt:lpwstr>
  </property>
  <property fmtid="{D5CDD505-2E9C-101B-9397-08002B2CF9AE}" pid="21" name="AdoptionDate">
    <vt:filetime>2021-02-24T12:00:00Z</vt:filetime>
  </property>
  <property fmtid="{D5CDD505-2E9C-101B-9397-08002B2CF9AE}" pid="22" name="DocumentType">
    <vt:lpwstr>70;#AC|a4cc1d15-fb08-4679-ad46-e4e0cba5fe92</vt:lpwstr>
  </property>
  <property fmtid="{D5CDD505-2E9C-101B-9397-08002B2CF9AE}" pid="23" name="RequestingService">
    <vt:lpwstr>Union économique et monétaire et cohésion économique et sociale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EN|f2175f21-25d7-44a3-96da-d6a61b075e1b;ES|e7a6b05b-ae16-40c8-add9-68b64b03aeba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16;#ES|e7a6b05b-ae16-40c8-add9-68b64b03aeba;#2;#TRA|150d2a88-1431-44e6-a8ca-0bb753ab8672;#80;#ECO|8df351f5-c957-404c-8cf3-8ffb22c9cba2;#6;#Final|ea5e6674-7b27-4bac-b091-73adbb394efe;#5;#Unrestricted|826e22d7-d029-4ec0-a450-0c28ff673572;#4;#EN|f2175f21-25d7-44a3-96da-d6a61b075e1b;#70;#AC|a4cc1d15-fb08-4679-ad46-e4e0cba5fe92;#1;#EESC|422833ec-8d7e-4e65-8e4e-8bed07ffb729</vt:lpwstr>
  </property>
  <property fmtid="{D5CDD505-2E9C-101B-9397-08002B2CF9AE}" pid="34" name="Rapporteur">
    <vt:lpwstr>DANDEA &amp; FRANK VON FÜRSTENWERTH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1570</vt:i4>
  </property>
  <property fmtid="{D5CDD505-2E9C-101B-9397-08002B2CF9AE}" pid="39" name="DocumentLanguage">
    <vt:lpwstr>29;#PT|50ccc04a-eadd-42ae-a0cb-acaf45f812ba</vt:lpwstr>
  </property>
  <property fmtid="{D5CDD505-2E9C-101B-9397-08002B2CF9AE}" pid="40" name="_docset_NoMedatataSyncRequired">
    <vt:lpwstr>False</vt:lpwstr>
  </property>
</Properties>
</file>