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F67" w:rsidRPr="007E5A84" w:rsidRDefault="00EF2050" w:rsidP="0086636F">
      <w:pPr>
        <w:jc w:val="center"/>
        <w:rPr>
          <w:lang w:val="sl-SI"/>
        </w:rPr>
      </w:pPr>
      <w:bookmarkStart w:id="0" w:name="_GoBack"/>
      <w:bookmarkEnd w:id="0"/>
      <w:r w:rsidRPr="007E5A84">
        <w:rPr>
          <w:noProof/>
          <w:lang w:val="en-US"/>
        </w:rPr>
        <mc:AlternateContent>
          <mc:Choice Requires="wps">
            <w:drawing>
              <wp:anchor distT="0" distB="0" distL="114300" distR="114300" simplePos="0" relativeHeight="251658240" behindDoc="1" locked="0" layoutInCell="0" allowOverlap="1" wp14:anchorId="5B84795F" wp14:editId="0431188B">
                <wp:simplePos x="0" y="0"/>
                <wp:positionH relativeFrom="page">
                  <wp:posOffset>6769100</wp:posOffset>
                </wp:positionH>
                <wp:positionV relativeFrom="page">
                  <wp:posOffset>10081260</wp:posOffset>
                </wp:positionV>
                <wp:extent cx="647700" cy="39624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F67" w:rsidRDefault="00DF1F67">
                            <w:pPr>
                              <w:jc w:val="center"/>
                              <w:rPr>
                                <w:rFonts w:ascii="Arial" w:hAnsi="Arial" w:cs="Arial"/>
                                <w:b/>
                                <w:bCs/>
                                <w:sz w:val="48"/>
                                <w:lang w:val="sl-SI"/>
                              </w:rPr>
                            </w:pPr>
                            <w:r>
                              <w:rPr>
                                <w:rFonts w:ascii="Arial" w:hAnsi="Arial" w:cs="Arial"/>
                                <w:b/>
                                <w:bCs/>
                                <w:sz w:val="48"/>
                                <w:lang w:val="sl-SI"/>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4795F" id="_x0000_t202" coordsize="21600,21600" o:spt="202" path="m,l,21600r21600,l21600,xe">
                <v:stroke joinstyle="miter"/>
                <v:path gradientshapeok="t" o:connecttype="rect"/>
              </v:shapetype>
              <v:shape id="Text Box 2"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Hcn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8xErSDFj2y0aA7OaLI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ooHcntQIAALgF&#10;AAAOAAAAAAAAAAAAAAAAAC4CAABkcnMvZTJvRG9jLnhtbFBLAQItABQABgAIAAAAIQDrVDFa3gAA&#10;AA8BAAAPAAAAAAAAAAAAAAAAAA8FAABkcnMvZG93bnJldi54bWxQSwUGAAAAAAQABADzAAAAGgYA&#10;AAAA&#10;" o:allowincell="f" filled="f" stroked="f">
                <v:textbox>
                  <w:txbxContent>
                    <w:p w:rsidR="00DF1F67" w:rsidRDefault="00DF1F67">
                      <w:pPr>
                        <w:jc w:val="center"/>
                        <w:rPr>
                          <w:rFonts w:ascii="Arial" w:hAnsi="Arial" w:cs="Arial"/>
                          <w:b/>
                          <w:bCs/>
                          <w:sz w:val="48"/>
                          <w:lang w:val="sl-SI"/>
                        </w:rPr>
                      </w:pPr>
                      <w:r>
                        <w:rPr>
                          <w:rFonts w:ascii="Arial" w:hAnsi="Arial" w:cs="Arial"/>
                          <w:b/>
                          <w:bCs/>
                          <w:sz w:val="48"/>
                          <w:lang w:val="sl-SI"/>
                        </w:rPr>
                        <w:t>SL</w:t>
                      </w:r>
                    </w:p>
                  </w:txbxContent>
                </v:textbox>
                <w10:wrap anchorx="page" anchory="page"/>
              </v:shape>
            </w:pict>
          </mc:Fallback>
        </mc:AlternateContent>
      </w:r>
      <w:r w:rsidR="00D25287" w:rsidRPr="007E5A84">
        <w:rPr>
          <w:noProof/>
          <w:lang w:val="en-US"/>
        </w:rPr>
        <w:drawing>
          <wp:inline distT="0" distB="0" distL="0" distR="0" wp14:anchorId="0DBAFE45" wp14:editId="59B948D3">
            <wp:extent cx="1792800" cy="1242000"/>
            <wp:effectExtent l="0" t="0" r="0" b="0"/>
            <wp:docPr id="1" name="Picture 1" title="EESCLogo_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ESC-vertical-positive-sl-quadri_MR.jpg"/>
                    <pic:cNvPicPr/>
                  </pic:nvPicPr>
                  <pic:blipFill>
                    <a:blip r:embed="rId8">
                      <a:extLst>
                        <a:ext uri="{28A0092B-C50C-407E-A947-70E740481C1C}">
                          <a14:useLocalDpi xmlns:a14="http://schemas.microsoft.com/office/drawing/2010/main" val="0"/>
                        </a:ext>
                      </a:extLst>
                    </a:blip>
                    <a:stretch>
                      <a:fillRect/>
                    </a:stretch>
                  </pic:blipFill>
                  <pic:spPr>
                    <a:xfrm>
                      <a:off x="0" y="0"/>
                      <a:ext cx="1792800" cy="1242000"/>
                    </a:xfrm>
                    <a:prstGeom prst="rect">
                      <a:avLst/>
                    </a:prstGeom>
                  </pic:spPr>
                </pic:pic>
              </a:graphicData>
            </a:graphic>
          </wp:inline>
        </w:drawing>
      </w:r>
    </w:p>
    <w:p w:rsidR="00DF1F67" w:rsidRPr="007E5A84" w:rsidRDefault="00DF1F67" w:rsidP="0086636F">
      <w:pPr>
        <w:rPr>
          <w:szCs w:val="22"/>
          <w:lang w:val="sl-SI"/>
        </w:rPr>
      </w:pPr>
    </w:p>
    <w:p w:rsidR="0040062B" w:rsidRPr="007E5A84" w:rsidRDefault="0040062B" w:rsidP="0040062B">
      <w:pPr>
        <w:jc w:val="right"/>
        <w:rPr>
          <w:szCs w:val="22"/>
          <w:lang w:val="sl-SI"/>
        </w:rPr>
      </w:pPr>
      <w:r w:rsidRPr="007E5A84">
        <w:rPr>
          <w:b/>
          <w:szCs w:val="22"/>
          <w:lang w:val="sl-SI"/>
        </w:rPr>
        <w:t>ECO/534</w:t>
      </w:r>
    </w:p>
    <w:p w:rsidR="00E224D1" w:rsidRPr="007E5A84" w:rsidRDefault="0040062B" w:rsidP="0040062B">
      <w:pPr>
        <w:jc w:val="right"/>
        <w:rPr>
          <w:szCs w:val="22"/>
          <w:lang w:val="sl-SI"/>
        </w:rPr>
      </w:pPr>
      <w:r w:rsidRPr="007E5A84">
        <w:rPr>
          <w:b/>
          <w:szCs w:val="22"/>
          <w:lang w:val="sl-SI"/>
        </w:rPr>
        <w:t>Strategija za digitalne finance</w:t>
      </w:r>
    </w:p>
    <w:p w:rsidR="00E224D1" w:rsidRPr="007E5A84" w:rsidRDefault="00E224D1" w:rsidP="0086636F">
      <w:pPr>
        <w:rPr>
          <w:szCs w:val="22"/>
          <w:lang w:val="sl-SI"/>
        </w:rPr>
      </w:pPr>
    </w:p>
    <w:p w:rsidR="00E224D1" w:rsidRPr="007E5A84" w:rsidRDefault="00E224D1" w:rsidP="0086636F">
      <w:pPr>
        <w:rPr>
          <w:szCs w:val="22"/>
          <w:lang w:val="sl-SI"/>
        </w:rPr>
      </w:pPr>
    </w:p>
    <w:p w:rsidR="00E224D1" w:rsidRPr="007E5A84" w:rsidRDefault="00E224D1" w:rsidP="0086636F">
      <w:pPr>
        <w:jc w:val="center"/>
        <w:rPr>
          <w:szCs w:val="22"/>
          <w:lang w:val="sl-SI"/>
        </w:rPr>
      </w:pPr>
      <w:r w:rsidRPr="007E5A84">
        <w:rPr>
          <w:rFonts w:ascii="Times New Roman Bold" w:hAnsi="Times New Roman Bold"/>
          <w:b/>
          <w:sz w:val="28"/>
          <w:szCs w:val="22"/>
          <w:lang w:val="sl-SI"/>
        </w:rPr>
        <w:t>MNENJE</w:t>
      </w:r>
      <w:r w:rsidRPr="007E5A84">
        <w:rPr>
          <w:b/>
          <w:szCs w:val="22"/>
          <w:lang w:val="sl-SI"/>
        </w:rPr>
        <w:br/>
      </w:r>
      <w:r w:rsidRPr="007E5A84">
        <w:rPr>
          <w:szCs w:val="22"/>
          <w:lang w:val="sl-SI"/>
        </w:rPr>
        <w:br/>
      </w:r>
      <w:r w:rsidR="003B641A" w:rsidRPr="007E5A84">
        <w:rPr>
          <w:szCs w:val="22"/>
          <w:lang w:val="sl-SI"/>
        </w:rPr>
        <w:t>Evropski ekonomsko-socialni odbor</w:t>
      </w:r>
      <w:r w:rsidRPr="007E5A84">
        <w:rPr>
          <w:szCs w:val="22"/>
          <w:lang w:val="sl-SI"/>
        </w:rPr>
        <w:br/>
      </w:r>
      <w:r w:rsidRPr="007E5A84">
        <w:rPr>
          <w:b/>
          <w:bCs/>
          <w:szCs w:val="22"/>
          <w:lang w:val="sl-SI"/>
        </w:rPr>
        <w:br/>
      </w:r>
      <w:r w:rsidR="0040062B" w:rsidRPr="007E5A84">
        <w:rPr>
          <w:b/>
          <w:szCs w:val="22"/>
          <w:lang w:val="sl-SI"/>
        </w:rPr>
        <w:t>Sporočilo Komisije Evropskemu parlamentu, Svetu,</w:t>
      </w:r>
      <w:r w:rsidR="0040062B" w:rsidRPr="007E5A84">
        <w:rPr>
          <w:b/>
          <w:szCs w:val="22"/>
          <w:lang w:val="sl-SI"/>
        </w:rPr>
        <w:br/>
        <w:t>Evropskemu ekonomsko-socialnemu odboru in Odboru regij</w:t>
      </w:r>
      <w:r w:rsidR="0040062B" w:rsidRPr="007E5A84">
        <w:rPr>
          <w:b/>
          <w:szCs w:val="22"/>
          <w:lang w:val="sl-SI"/>
        </w:rPr>
        <w:br/>
        <w:t>o strategiji EU za digitalne finance</w:t>
      </w:r>
      <w:r w:rsidRPr="007E5A84">
        <w:rPr>
          <w:szCs w:val="22"/>
          <w:lang w:val="sl-SI"/>
        </w:rPr>
        <w:br/>
        <w:t>[COM(</w:t>
      </w:r>
      <w:r w:rsidR="0040062B" w:rsidRPr="007E5A84">
        <w:rPr>
          <w:szCs w:val="22"/>
          <w:lang w:val="sl-SI"/>
        </w:rPr>
        <w:t>2020) 591 final</w:t>
      </w:r>
      <w:r w:rsidRPr="007E5A84">
        <w:rPr>
          <w:szCs w:val="22"/>
          <w:lang w:val="sl-SI"/>
        </w:rPr>
        <w:t>]</w:t>
      </w:r>
    </w:p>
    <w:p w:rsidR="00E224D1" w:rsidRPr="007E5A84" w:rsidRDefault="00E224D1" w:rsidP="0086636F">
      <w:pPr>
        <w:jc w:val="center"/>
        <w:rPr>
          <w:szCs w:val="22"/>
          <w:lang w:val="sl-SI"/>
        </w:rPr>
      </w:pPr>
    </w:p>
    <w:p w:rsidR="0040062B" w:rsidRPr="007E5A84" w:rsidRDefault="00E224D1" w:rsidP="0040062B">
      <w:pPr>
        <w:jc w:val="center"/>
        <w:rPr>
          <w:szCs w:val="22"/>
          <w:lang w:val="sl-SI"/>
        </w:rPr>
      </w:pPr>
      <w:r w:rsidRPr="007E5A84">
        <w:rPr>
          <w:szCs w:val="22"/>
          <w:lang w:val="sl-SI"/>
        </w:rPr>
        <w:t xml:space="preserve">Poročevalec: </w:t>
      </w:r>
      <w:r w:rsidR="0040062B" w:rsidRPr="007E5A84">
        <w:rPr>
          <w:b/>
          <w:szCs w:val="22"/>
          <w:lang w:val="sl-SI"/>
        </w:rPr>
        <w:t>Petru Sorin DANDEA</w:t>
      </w:r>
    </w:p>
    <w:p w:rsidR="00E224D1" w:rsidRPr="007E5A84" w:rsidRDefault="0040062B" w:rsidP="0040062B">
      <w:pPr>
        <w:jc w:val="center"/>
        <w:rPr>
          <w:szCs w:val="22"/>
          <w:lang w:val="sl-SI"/>
        </w:rPr>
      </w:pPr>
      <w:r w:rsidRPr="007E5A84">
        <w:rPr>
          <w:szCs w:val="22"/>
          <w:lang w:val="sl-SI"/>
        </w:rPr>
        <w:t xml:space="preserve">Soporočevalec: </w:t>
      </w:r>
      <w:r w:rsidRPr="007E5A84">
        <w:rPr>
          <w:b/>
          <w:szCs w:val="22"/>
          <w:lang w:val="sl-SI"/>
        </w:rPr>
        <w:t>Jörg Freiherr FRANK VON FÜRSTENWERTH</w:t>
      </w:r>
    </w:p>
    <w:p w:rsidR="00E224D1" w:rsidRPr="007E5A84" w:rsidRDefault="00E224D1" w:rsidP="0086636F">
      <w:pPr>
        <w:rPr>
          <w:szCs w:val="22"/>
          <w:lang w:val="sl-SI"/>
        </w:rPr>
      </w:pPr>
    </w:p>
    <w:p w:rsidR="00DF1F67" w:rsidRPr="007E5A84" w:rsidRDefault="00DF1F67" w:rsidP="0086636F">
      <w:pPr>
        <w:rPr>
          <w:szCs w:val="22"/>
          <w:lang w:val="sl-SI"/>
        </w:rPr>
      </w:pPr>
    </w:p>
    <w:p w:rsidR="00DF1F67" w:rsidRPr="007E5A84" w:rsidRDefault="00DF1F67" w:rsidP="0086636F">
      <w:pPr>
        <w:rPr>
          <w:szCs w:val="22"/>
          <w:lang w:val="sl-SI"/>
        </w:rPr>
        <w:sectPr w:rsidR="00DF1F67" w:rsidRPr="007E5A84" w:rsidSect="00F20AA9">
          <w:footerReference w:type="default" r:id="rId9"/>
          <w:pgSz w:w="11907" w:h="16839" w:code="9"/>
          <w:pgMar w:top="1418" w:right="1418" w:bottom="1418" w:left="1418" w:header="709" w:footer="709" w:gutter="0"/>
          <w:pgNumType w:start="1"/>
          <w:cols w:space="720"/>
          <w:docGrid w:linePitch="299"/>
        </w:sectPr>
      </w:pPr>
    </w:p>
    <w:tbl>
      <w:tblPr>
        <w:tblW w:w="5000" w:type="pct"/>
        <w:tblLook w:val="0000" w:firstRow="0" w:lastRow="0" w:firstColumn="0" w:lastColumn="0" w:noHBand="0" w:noVBand="0"/>
      </w:tblPr>
      <w:tblGrid>
        <w:gridCol w:w="2942"/>
        <w:gridCol w:w="6345"/>
      </w:tblGrid>
      <w:tr w:rsidR="00E224D1" w:rsidRPr="007E5A84" w:rsidTr="00AB5674">
        <w:tc>
          <w:tcPr>
            <w:tcW w:w="1584" w:type="pct"/>
          </w:tcPr>
          <w:p w:rsidR="00E224D1" w:rsidRPr="007E5A84" w:rsidRDefault="0086636F" w:rsidP="009F78FC">
            <w:pPr>
              <w:rPr>
                <w:szCs w:val="22"/>
                <w:lang w:val="sl-SI"/>
              </w:rPr>
            </w:pPr>
            <w:r w:rsidRPr="007E5A84">
              <w:rPr>
                <w:szCs w:val="22"/>
                <w:lang w:val="sl-SI"/>
              </w:rPr>
              <w:lastRenderedPageBreak/>
              <w:t>Zaprosilo</w:t>
            </w:r>
          </w:p>
        </w:tc>
        <w:tc>
          <w:tcPr>
            <w:tcW w:w="3416" w:type="pct"/>
          </w:tcPr>
          <w:p w:rsidR="00E224D1" w:rsidRPr="007E5A84" w:rsidRDefault="00995F56" w:rsidP="009F78FC">
            <w:pPr>
              <w:rPr>
                <w:bCs/>
                <w:szCs w:val="22"/>
                <w:lang w:val="sl-SI"/>
              </w:rPr>
            </w:pPr>
            <w:r w:rsidRPr="007E5A84">
              <w:rPr>
                <w:bCs/>
                <w:szCs w:val="22"/>
                <w:lang w:val="sl-SI"/>
              </w:rPr>
              <w:t>Evropska komisija, 11. 11. 2020</w:t>
            </w:r>
          </w:p>
        </w:tc>
      </w:tr>
      <w:tr w:rsidR="00E224D1" w:rsidRPr="007E5A84" w:rsidTr="00AB5674">
        <w:tc>
          <w:tcPr>
            <w:tcW w:w="1584" w:type="pct"/>
          </w:tcPr>
          <w:p w:rsidR="00E224D1" w:rsidRPr="007E5A84" w:rsidRDefault="00E224D1" w:rsidP="009F78FC">
            <w:pPr>
              <w:rPr>
                <w:szCs w:val="22"/>
                <w:lang w:val="sl-SI"/>
              </w:rPr>
            </w:pPr>
            <w:r w:rsidRPr="007E5A84">
              <w:rPr>
                <w:szCs w:val="22"/>
                <w:lang w:val="sl-SI"/>
              </w:rPr>
              <w:t>Pravna podlaga</w:t>
            </w:r>
          </w:p>
        </w:tc>
        <w:tc>
          <w:tcPr>
            <w:tcW w:w="3416" w:type="pct"/>
          </w:tcPr>
          <w:p w:rsidR="00E224D1" w:rsidRPr="007E5A84" w:rsidRDefault="00995F56" w:rsidP="009F78FC">
            <w:pPr>
              <w:rPr>
                <w:szCs w:val="22"/>
                <w:lang w:val="sl-SI"/>
              </w:rPr>
            </w:pPr>
            <w:r w:rsidRPr="007E5A84">
              <w:rPr>
                <w:szCs w:val="22"/>
                <w:lang w:val="sl-SI"/>
              </w:rPr>
              <w:t>člen 304</w:t>
            </w:r>
            <w:r w:rsidR="00E224D1" w:rsidRPr="007E5A84">
              <w:rPr>
                <w:szCs w:val="22"/>
                <w:lang w:val="sl-SI"/>
              </w:rPr>
              <w:t xml:space="preserve"> Pogodbe o delovanju Evropske unije</w:t>
            </w:r>
          </w:p>
        </w:tc>
      </w:tr>
      <w:tr w:rsidR="00E224D1" w:rsidRPr="007E5A84" w:rsidTr="00AB5674">
        <w:tc>
          <w:tcPr>
            <w:tcW w:w="1584" w:type="pct"/>
          </w:tcPr>
          <w:p w:rsidR="00E224D1" w:rsidRPr="007E5A84" w:rsidRDefault="00E224D1" w:rsidP="009F78FC">
            <w:pPr>
              <w:rPr>
                <w:szCs w:val="22"/>
                <w:lang w:val="sl-SI"/>
              </w:rPr>
            </w:pPr>
          </w:p>
        </w:tc>
        <w:tc>
          <w:tcPr>
            <w:tcW w:w="3416" w:type="pct"/>
          </w:tcPr>
          <w:p w:rsidR="00E224D1" w:rsidRPr="007E5A84" w:rsidRDefault="00E224D1" w:rsidP="009F78FC">
            <w:pPr>
              <w:rPr>
                <w:szCs w:val="22"/>
                <w:lang w:val="sl-SI"/>
              </w:rPr>
            </w:pPr>
          </w:p>
        </w:tc>
      </w:tr>
      <w:tr w:rsidR="00E224D1" w:rsidRPr="007E5A84" w:rsidTr="00AB5674">
        <w:tc>
          <w:tcPr>
            <w:tcW w:w="1584" w:type="pct"/>
          </w:tcPr>
          <w:p w:rsidR="00E224D1" w:rsidRPr="007E5A84" w:rsidRDefault="009E3A9F" w:rsidP="009F78FC">
            <w:pPr>
              <w:rPr>
                <w:szCs w:val="22"/>
                <w:lang w:val="sl-SI"/>
              </w:rPr>
            </w:pPr>
            <w:r w:rsidRPr="007E5A84">
              <w:rPr>
                <w:szCs w:val="22"/>
                <w:lang w:val="sl-SI"/>
              </w:rPr>
              <w:t>Pristojnost</w:t>
            </w:r>
          </w:p>
        </w:tc>
        <w:tc>
          <w:tcPr>
            <w:tcW w:w="3416" w:type="pct"/>
          </w:tcPr>
          <w:p w:rsidR="00E224D1" w:rsidRPr="007E5A84" w:rsidRDefault="00995F56" w:rsidP="009F78FC">
            <w:pPr>
              <w:rPr>
                <w:szCs w:val="22"/>
                <w:lang w:val="sl-SI"/>
              </w:rPr>
            </w:pPr>
            <w:r w:rsidRPr="007E5A84">
              <w:rPr>
                <w:szCs w:val="22"/>
                <w:lang w:val="sl-SI"/>
              </w:rPr>
              <w:t>strokovna skupina za ekonomsko in monetarno unijo ter ekonomsko in socialno kohezijo</w:t>
            </w:r>
          </w:p>
        </w:tc>
      </w:tr>
      <w:tr w:rsidR="00E224D1" w:rsidRPr="007E5A84" w:rsidTr="009E3A9F">
        <w:tc>
          <w:tcPr>
            <w:tcW w:w="1584" w:type="pct"/>
          </w:tcPr>
          <w:p w:rsidR="00E224D1" w:rsidRPr="007E5A84" w:rsidRDefault="0086636F" w:rsidP="009F78FC">
            <w:pPr>
              <w:rPr>
                <w:szCs w:val="22"/>
                <w:lang w:val="sl-SI"/>
              </w:rPr>
            </w:pPr>
            <w:r w:rsidRPr="007E5A84">
              <w:rPr>
                <w:szCs w:val="22"/>
                <w:lang w:val="sl-SI"/>
              </w:rPr>
              <w:t>Datum sprejetja mnenja strokovne skupine</w:t>
            </w:r>
          </w:p>
        </w:tc>
        <w:tc>
          <w:tcPr>
            <w:tcW w:w="3416" w:type="pct"/>
            <w:vAlign w:val="bottom"/>
          </w:tcPr>
          <w:p w:rsidR="00E224D1" w:rsidRPr="007E5A84" w:rsidRDefault="00995F56" w:rsidP="009F78FC">
            <w:pPr>
              <w:rPr>
                <w:szCs w:val="22"/>
                <w:lang w:val="sl-SI"/>
              </w:rPr>
            </w:pPr>
            <w:r w:rsidRPr="007E5A84">
              <w:rPr>
                <w:szCs w:val="22"/>
                <w:lang w:val="sl-SI"/>
              </w:rPr>
              <w:t>12. 2. 2021</w:t>
            </w:r>
          </w:p>
        </w:tc>
      </w:tr>
      <w:tr w:rsidR="00E224D1" w:rsidRPr="007E5A84" w:rsidTr="009E3A9F">
        <w:tc>
          <w:tcPr>
            <w:tcW w:w="1584" w:type="pct"/>
          </w:tcPr>
          <w:p w:rsidR="00E224D1" w:rsidRPr="007E5A84" w:rsidRDefault="0086636F" w:rsidP="009F78FC">
            <w:pPr>
              <w:rPr>
                <w:szCs w:val="22"/>
                <w:lang w:val="sl-SI"/>
              </w:rPr>
            </w:pPr>
            <w:r w:rsidRPr="007E5A84">
              <w:rPr>
                <w:szCs w:val="22"/>
                <w:lang w:val="sl-SI"/>
              </w:rPr>
              <w:t>Datum sprejetja mnenja na plenarnem zasedanju</w:t>
            </w:r>
          </w:p>
        </w:tc>
        <w:tc>
          <w:tcPr>
            <w:tcW w:w="3416" w:type="pct"/>
            <w:vAlign w:val="bottom"/>
          </w:tcPr>
          <w:p w:rsidR="00E224D1" w:rsidRPr="007E5A84" w:rsidRDefault="00995F56" w:rsidP="009F78FC">
            <w:pPr>
              <w:rPr>
                <w:szCs w:val="22"/>
                <w:lang w:val="sl-SI"/>
              </w:rPr>
            </w:pPr>
            <w:r w:rsidRPr="007E5A84">
              <w:rPr>
                <w:szCs w:val="22"/>
                <w:lang w:val="sl-SI"/>
              </w:rPr>
              <w:t>24. 2. 2021</w:t>
            </w:r>
          </w:p>
        </w:tc>
      </w:tr>
      <w:tr w:rsidR="00E224D1" w:rsidRPr="007E5A84" w:rsidTr="00AB5674">
        <w:tc>
          <w:tcPr>
            <w:tcW w:w="1584" w:type="pct"/>
          </w:tcPr>
          <w:p w:rsidR="00E224D1" w:rsidRPr="007E5A84" w:rsidRDefault="00E7120E" w:rsidP="009F78FC">
            <w:pPr>
              <w:rPr>
                <w:szCs w:val="22"/>
                <w:lang w:val="sl-SI"/>
              </w:rPr>
            </w:pPr>
            <w:r w:rsidRPr="007E5A84">
              <w:rPr>
                <w:szCs w:val="22"/>
                <w:lang w:val="sl-SI"/>
              </w:rPr>
              <w:t>Plenarno</w:t>
            </w:r>
            <w:r w:rsidR="00E224D1" w:rsidRPr="007E5A84">
              <w:rPr>
                <w:szCs w:val="22"/>
                <w:lang w:val="sl-SI"/>
              </w:rPr>
              <w:t xml:space="preserve"> zasedanj</w:t>
            </w:r>
            <w:r w:rsidRPr="007E5A84">
              <w:rPr>
                <w:szCs w:val="22"/>
                <w:lang w:val="sl-SI"/>
              </w:rPr>
              <w:t>e</w:t>
            </w:r>
            <w:r w:rsidR="0086636F" w:rsidRPr="007E5A84">
              <w:rPr>
                <w:szCs w:val="22"/>
                <w:lang w:val="sl-SI"/>
              </w:rPr>
              <w:t xml:space="preserve"> št.</w:t>
            </w:r>
          </w:p>
        </w:tc>
        <w:tc>
          <w:tcPr>
            <w:tcW w:w="3416" w:type="pct"/>
          </w:tcPr>
          <w:p w:rsidR="00E224D1" w:rsidRPr="007E5A84" w:rsidRDefault="00995F56" w:rsidP="009F78FC">
            <w:pPr>
              <w:rPr>
                <w:szCs w:val="22"/>
                <w:lang w:val="sl-SI"/>
              </w:rPr>
            </w:pPr>
            <w:r w:rsidRPr="007E5A84">
              <w:rPr>
                <w:szCs w:val="22"/>
                <w:lang w:val="sl-SI"/>
              </w:rPr>
              <w:t>558</w:t>
            </w:r>
          </w:p>
        </w:tc>
      </w:tr>
      <w:tr w:rsidR="00E224D1" w:rsidRPr="007E5A84" w:rsidTr="00AB5674">
        <w:tc>
          <w:tcPr>
            <w:tcW w:w="1584" w:type="pct"/>
          </w:tcPr>
          <w:p w:rsidR="00E224D1" w:rsidRPr="007E5A84" w:rsidRDefault="00E224D1" w:rsidP="009F78FC">
            <w:pPr>
              <w:rPr>
                <w:szCs w:val="22"/>
                <w:lang w:val="sl-SI"/>
              </w:rPr>
            </w:pPr>
            <w:r w:rsidRPr="007E5A84">
              <w:rPr>
                <w:szCs w:val="22"/>
                <w:lang w:val="sl-SI"/>
              </w:rPr>
              <w:t>Rezultat glasovanja</w:t>
            </w:r>
            <w:r w:rsidRPr="007E5A84">
              <w:rPr>
                <w:szCs w:val="22"/>
                <w:lang w:val="sl-SI"/>
              </w:rPr>
              <w:br/>
              <w:t>(za/proti/vzdržani)</w:t>
            </w:r>
          </w:p>
        </w:tc>
        <w:tc>
          <w:tcPr>
            <w:tcW w:w="3416" w:type="pct"/>
            <w:vAlign w:val="bottom"/>
          </w:tcPr>
          <w:p w:rsidR="00E224D1" w:rsidRPr="007E5A84" w:rsidRDefault="00995F56" w:rsidP="009F78FC">
            <w:pPr>
              <w:rPr>
                <w:szCs w:val="22"/>
                <w:lang w:val="sl-SI"/>
              </w:rPr>
            </w:pPr>
            <w:r w:rsidRPr="007E5A84">
              <w:rPr>
                <w:szCs w:val="22"/>
                <w:lang w:val="sl-SI"/>
              </w:rPr>
              <w:t>237/0/5</w:t>
            </w:r>
          </w:p>
        </w:tc>
      </w:tr>
    </w:tbl>
    <w:p w:rsidR="00E224D1" w:rsidRPr="007E5A84" w:rsidRDefault="00E224D1" w:rsidP="0086636F">
      <w:pPr>
        <w:rPr>
          <w:szCs w:val="22"/>
          <w:lang w:val="sl-SI"/>
        </w:rPr>
      </w:pPr>
    </w:p>
    <w:p w:rsidR="00E224D1" w:rsidRPr="007E5A84" w:rsidRDefault="00E224D1" w:rsidP="0086636F">
      <w:pPr>
        <w:pStyle w:val="Heading1"/>
        <w:pageBreakBefore/>
        <w:ind w:left="567" w:hanging="567"/>
        <w:rPr>
          <w:szCs w:val="22"/>
          <w:lang w:val="sl-SI"/>
        </w:rPr>
      </w:pPr>
      <w:r w:rsidRPr="007E5A84">
        <w:rPr>
          <w:b/>
          <w:szCs w:val="22"/>
          <w:lang w:val="sl-SI"/>
        </w:rPr>
        <w:lastRenderedPageBreak/>
        <w:t>Sklepi in priporočila</w:t>
      </w:r>
    </w:p>
    <w:p w:rsidR="00E224D1" w:rsidRPr="007E5A84" w:rsidRDefault="00E224D1" w:rsidP="0086636F">
      <w:pPr>
        <w:rPr>
          <w:szCs w:val="22"/>
          <w:lang w:val="sl-SI"/>
        </w:rPr>
      </w:pPr>
    </w:p>
    <w:p w:rsidR="007E5A84" w:rsidRPr="007E5A84" w:rsidRDefault="007E5A84" w:rsidP="007E5A84">
      <w:pPr>
        <w:pStyle w:val="Heading2"/>
        <w:ind w:left="567" w:hanging="567"/>
        <w:rPr>
          <w:szCs w:val="22"/>
          <w:lang w:val="sl-SI"/>
        </w:rPr>
      </w:pPr>
      <w:r w:rsidRPr="007E5A84">
        <w:rPr>
          <w:szCs w:val="22"/>
          <w:lang w:val="sl-SI"/>
        </w:rPr>
        <w:t>Evropski ekonomsko-socialni odbor (EESO) pozdravlja sveženj o digitalnih financah, ki ga je sprejela Komisija, in meni, da vsebuje strateške zakonodajne in nezakonodajne elemente za razvoj tega sektorja.</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Program s štirimi prednostnimi nalogami, ki ga je predstavila Komisija, v bistvu zajema skoraj vsa pomembna področja digitalne preobrazbe finančnega sektorja EU. EESO podpira te pristope Komisije.</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Komisija se v zvezi z izvajanjem digitalnih finančnih storitev pravilno opira na močne udeležence na evropskem trgu, vendar EESO meni, da ne bi smeli zanemariti posebne vloge, ki jo imajo specializirani regionalni in/ali zadružni oziroma vzajemni lokalni ponudniki v finančnem sektorju.</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Finančni sektor EU se zaradi digitalizacije sooča z obsežno preobrazbo, ki je tesno povezana z daljnosežnim prestrukturiranjem, zapiranjem podružnic, spremembami poklicnih kvalifikacij zaposlenih in povsem novimi oblikami dela. Teh pomembnih izzivov ne bi smeli prezreti, saj so velik zalogaj za ponudnike in seveda za zaposlene v finančnem sektorju.</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Komisija naznanja, da je treba proučiti vzpostavitev platforme EU za digitalne finance. EESO se strinja in priporoča, da se v ta proces vključijo socialni partnerji in predstavniki civilne družbe.</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EESO meni, da so pri obravnavi izzivov in tveganj, ki so povezani z digitalno preobrazbo, predpisi za ponudnike tehnologije, varstvo potrošnikov, zagotavljanje dostopa do finančnih storitev, operativna odpornost ter varnost omrežij in informacijskih sistemov bistveni za oblikovanje enotnega digitalnega trga za finančne storitve.</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Na področju kibernetske varnosti EESO pozdravlja projekt GAIA-X, ki naj bi ponudil alternativo prevladujočemu položaju ZDA in Kitajske na področju storitev v oblaku. Cilj tega projekta, pri katerem sodeluje tudi Evropska komisija, je doseči podatkovno suverenost EU ali upravljanje podatkov prek oblakovnega omrežja s sedežem v EU.</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Zavezanost Komisije načelu „enaka dejavnost, enako tveganje, enaka pravila“ je temeljnega pomena in ima ključno vlogo pri reševanju novih izzivov, vključno z zagotavljanjem enakega nadzora. EESO meni, da je posebej pomembno, da se vzpostavijo enaki konkurenčni pogoji za vse finančne institucije.</w:t>
      </w:r>
    </w:p>
    <w:p w:rsidR="007E5A84" w:rsidRPr="007E5A84" w:rsidRDefault="007E5A84" w:rsidP="008736CC">
      <w:pPr>
        <w:rPr>
          <w:szCs w:val="22"/>
          <w:lang w:val="sl-SI"/>
        </w:rPr>
      </w:pPr>
    </w:p>
    <w:p w:rsidR="007E5A84" w:rsidRPr="008736CC" w:rsidRDefault="007E5A84" w:rsidP="008736CC">
      <w:pPr>
        <w:pStyle w:val="Heading1"/>
        <w:keepNext/>
        <w:keepLines/>
        <w:ind w:left="567" w:hanging="567"/>
        <w:rPr>
          <w:szCs w:val="22"/>
          <w:lang w:val="sl-SI"/>
        </w:rPr>
      </w:pPr>
      <w:r w:rsidRPr="007E5A84">
        <w:rPr>
          <w:b/>
          <w:szCs w:val="22"/>
          <w:lang w:val="sl-SI"/>
        </w:rPr>
        <w:lastRenderedPageBreak/>
        <w:t>Predlogi Evropske komisije</w:t>
      </w:r>
    </w:p>
    <w:p w:rsidR="007E5A84" w:rsidRPr="007E5A84" w:rsidRDefault="007E5A84" w:rsidP="008736CC">
      <w:pPr>
        <w:keepNext/>
        <w:keepLines/>
        <w:rPr>
          <w:szCs w:val="22"/>
          <w:lang w:val="sl-SI"/>
        </w:rPr>
      </w:pPr>
    </w:p>
    <w:p w:rsidR="007E5A84" w:rsidRPr="007E5A84" w:rsidRDefault="009F671C" w:rsidP="008736CC">
      <w:pPr>
        <w:pStyle w:val="Heading2"/>
        <w:keepNext/>
        <w:keepLines/>
        <w:ind w:left="567" w:hanging="567"/>
        <w:rPr>
          <w:szCs w:val="22"/>
          <w:lang w:val="sl-SI"/>
        </w:rPr>
      </w:pPr>
      <w:r>
        <w:rPr>
          <w:szCs w:val="22"/>
          <w:lang w:val="sl-SI"/>
        </w:rPr>
        <w:t>Komisija je 24. septembra </w:t>
      </w:r>
      <w:r w:rsidR="007E5A84" w:rsidRPr="007E5A84">
        <w:rPr>
          <w:szCs w:val="22"/>
          <w:lang w:val="sl-SI"/>
        </w:rPr>
        <w:t>2020 predstavila sveženj o digitalnih financah, ki zajema strategijo za digitalne finance</w:t>
      </w:r>
      <w:r w:rsidR="008B66E9">
        <w:rPr>
          <w:rStyle w:val="FootnoteReference"/>
          <w:szCs w:val="22"/>
          <w:lang w:val="sl-SI"/>
        </w:rPr>
        <w:footnoteReference w:id="1"/>
      </w:r>
      <w:r w:rsidR="007E5A84" w:rsidRPr="007E5A84">
        <w:rPr>
          <w:szCs w:val="22"/>
          <w:lang w:val="sl-SI"/>
        </w:rPr>
        <w:t>, strategijo za mala plačila</w:t>
      </w:r>
      <w:r w:rsidR="008B66E9">
        <w:rPr>
          <w:rStyle w:val="FootnoteReference"/>
          <w:szCs w:val="22"/>
          <w:lang w:val="sl-SI"/>
        </w:rPr>
        <w:footnoteReference w:id="2"/>
      </w:r>
      <w:r w:rsidR="007E5A84" w:rsidRPr="007E5A84">
        <w:rPr>
          <w:szCs w:val="22"/>
          <w:lang w:val="sl-SI"/>
        </w:rPr>
        <w:t>, zakonodajne predloge za regulativni okvir EU za kriptoimetja</w:t>
      </w:r>
      <w:r w:rsidR="008B66E9">
        <w:rPr>
          <w:rStyle w:val="FootnoteReference"/>
          <w:szCs w:val="22"/>
          <w:lang w:val="sl-SI"/>
        </w:rPr>
        <w:footnoteReference w:id="3"/>
      </w:r>
      <w:r w:rsidR="007E5A84" w:rsidRPr="007E5A84">
        <w:rPr>
          <w:szCs w:val="22"/>
          <w:lang w:val="sl-SI"/>
        </w:rPr>
        <w:t xml:space="preserve"> in tehnologijo razpršene evidence, na kateri temeljijo</w:t>
      </w:r>
      <w:r w:rsidR="008B66E9">
        <w:rPr>
          <w:rStyle w:val="FootnoteReference"/>
          <w:szCs w:val="22"/>
          <w:lang w:val="sl-SI"/>
        </w:rPr>
        <w:footnoteReference w:id="4"/>
      </w:r>
      <w:r w:rsidR="007E5A84" w:rsidRPr="007E5A84">
        <w:rPr>
          <w:szCs w:val="22"/>
          <w:lang w:val="sl-SI"/>
        </w:rPr>
        <w:t>, pa tudi predloge za regulativni okvir EU za digitalno operativno odpornost</w:t>
      </w:r>
      <w:r w:rsidR="008B66E9">
        <w:rPr>
          <w:rStyle w:val="FootnoteReference"/>
          <w:szCs w:val="22"/>
          <w:lang w:val="sl-SI"/>
        </w:rPr>
        <w:footnoteReference w:id="5"/>
      </w:r>
      <w:r w:rsidR="008736CC">
        <w:rPr>
          <w:szCs w:val="22"/>
          <w:lang w:val="sl-SI"/>
        </w:rPr>
        <w:t>.</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V posebej razgibanem okolju digitalnih inovacij, ki jih je dodatno pospešila kriza zaradi COVID-19, Komisija predlaga strategijo z enim strateškim ciljem in štirimi prednostnimi nalogami ter povezanimi ukrepi za digitalne finance. To strategijo obravnava to mnenje EESO.</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Strateški cilj, ki ga je določila Komisija, je sprejeti digitalne finance v korist potrošnikov in podjetij. Šti</w:t>
      </w:r>
      <w:r w:rsidR="008736CC">
        <w:rPr>
          <w:szCs w:val="22"/>
          <w:lang w:val="sl-SI"/>
        </w:rPr>
        <w:t>ri prednostne naloge pa so: (1) </w:t>
      </w:r>
      <w:r w:rsidRPr="007E5A84">
        <w:rPr>
          <w:szCs w:val="22"/>
          <w:lang w:val="sl-SI"/>
        </w:rPr>
        <w:t>odpraviti razdrobljenost enotnega digitalnega trga za finančne storitve, s čimer bi evropskim potrošnikom omogočili dostop do čezmejnih storitev in pomagali evropskim finančnim podjetjem pri širjenju njih</w:t>
      </w:r>
      <w:r w:rsidR="008736CC">
        <w:rPr>
          <w:szCs w:val="22"/>
          <w:lang w:val="sl-SI"/>
        </w:rPr>
        <w:t>ovih digitalnih dejavnosti, (2) </w:t>
      </w:r>
      <w:r w:rsidRPr="007E5A84">
        <w:rPr>
          <w:szCs w:val="22"/>
          <w:lang w:val="sl-SI"/>
        </w:rPr>
        <w:t>zagotoviti, da regulativni okvir EU spodbuja digitalne inovacije v interesu potrošn</w:t>
      </w:r>
      <w:r w:rsidR="008736CC">
        <w:rPr>
          <w:szCs w:val="22"/>
          <w:lang w:val="sl-SI"/>
        </w:rPr>
        <w:t>ikov in učinkovitosti trga, (3) </w:t>
      </w:r>
      <w:r w:rsidRPr="007E5A84">
        <w:rPr>
          <w:szCs w:val="22"/>
          <w:lang w:val="sl-SI"/>
        </w:rPr>
        <w:t>vzpostaviti evropski finančni podatkovni prostor za spodbujanje inovacij, ki temeljijo na podatkih, in sicer na temeljih evropske podatkovne strategije, vključno z boljšim dostopom do podatkov in souporabo podatk</w:t>
      </w:r>
      <w:r w:rsidR="008736CC">
        <w:rPr>
          <w:szCs w:val="22"/>
          <w:lang w:val="sl-SI"/>
        </w:rPr>
        <w:t>ov v finančnem sektorju, in (4) </w:t>
      </w:r>
      <w:r w:rsidRPr="007E5A84">
        <w:rPr>
          <w:szCs w:val="22"/>
          <w:lang w:val="sl-SI"/>
        </w:rPr>
        <w:t>obravnavati nove izzive in tveganja, povezane z digitalno preobrazbo.</w:t>
      </w:r>
    </w:p>
    <w:p w:rsidR="007E5A84" w:rsidRPr="007E5A84" w:rsidRDefault="007E5A84" w:rsidP="008736CC">
      <w:pPr>
        <w:rPr>
          <w:szCs w:val="22"/>
          <w:lang w:val="sl-SI"/>
        </w:rPr>
      </w:pPr>
    </w:p>
    <w:p w:rsidR="007E5A84" w:rsidRPr="008736CC" w:rsidRDefault="007E5A84" w:rsidP="007E5A84">
      <w:pPr>
        <w:pStyle w:val="Heading1"/>
        <w:ind w:left="567" w:hanging="567"/>
        <w:rPr>
          <w:szCs w:val="22"/>
          <w:lang w:val="sl-SI"/>
        </w:rPr>
      </w:pPr>
      <w:r w:rsidRPr="007E5A84">
        <w:rPr>
          <w:b/>
          <w:szCs w:val="22"/>
          <w:lang w:val="sl-SI"/>
        </w:rPr>
        <w:t>Splošne in posebne ugotovitve</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Komisija s pobudo za oblikovanje in izvajanje nove strategije za digitalne finance v Evropi (ki je del njenega svežnja o digitalnih financah) potrjuje velik pomen digitalizacije v finančnem sektorju (digitalnih finančnih storitev), ki je postal posebej očiten med krizo zaradi COVID-19. Program s štirimi prednostnimi nalogami, ki ga je predstavila Komisija, v bistvu zajema skoraj vsa pomembna področja digitalne preobrazbe finančnega sektorja EU. EESO podpira te pristope Komisije.</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Komisija se v zvezi z izvajanjem digitalnih finančnih storitev pravilno opira na močne udeležence na evropskem trgu, vendar EESO meni, da je treba obravnavati posebno vlogo, ki jo imajo specializirani regionalni in/ali zadružni oziroma vzajemni ponudniki v finančnem sektorju, saj raznolikost v tem sektorju prispeva k izpolnjevanju posebnih potreb potrošnikov ter malih in srednjih podjetij, pripomore pa tudi h konkurenčnosti trgov. EESO poziva Komisijo, naj si prizadeva za sorazmernost, kar zadeva naravo, obseg in kompleksnost finančnih institucij in njihovih produktov.</w:t>
      </w:r>
    </w:p>
    <w:p w:rsidR="007E5A84" w:rsidRPr="007E5A84" w:rsidRDefault="007E5A84" w:rsidP="008736CC">
      <w:pPr>
        <w:rPr>
          <w:lang w:val="sl-SI"/>
        </w:rPr>
      </w:pPr>
    </w:p>
    <w:p w:rsidR="007E5A84" w:rsidRPr="007E5A84" w:rsidRDefault="007E5A84" w:rsidP="009F671C">
      <w:pPr>
        <w:pStyle w:val="Heading2"/>
        <w:keepNext/>
        <w:keepLines/>
        <w:ind w:left="567" w:hanging="567"/>
        <w:rPr>
          <w:szCs w:val="22"/>
          <w:lang w:val="sl-SI"/>
        </w:rPr>
      </w:pPr>
      <w:r w:rsidRPr="007E5A84">
        <w:rPr>
          <w:szCs w:val="22"/>
          <w:lang w:val="sl-SI"/>
        </w:rPr>
        <w:lastRenderedPageBreak/>
        <w:t>Sporočilo Komisije je izredno tehnično in ne obravnava naslednje problematike: finančni sektor EU se zaradi digitalizacije sooča z obsežno preobrazbo, ki je tesno povezana z daljnosežnim prestrukturiranjem, zapiranjem podružnic, spremembami poklicnih kvalifikacij zaposlenih in povsem novimi oblikami dela. Teh pomembnih izzivov ne bi smeli prezreti, saj so velik zalogaj za ponudnike in seveda za zaposlene v finančnem sektorju. EESO se zavzema za socialni dialog, da bi našli rešitve na področjih, na katerih poteka preobrazba.</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Komisija navaja, da bo dobro delujoč enotni trg za digitalne finančne storitve pomagal izboljšati dostop potrošnikov in malih vlagateljev v EU do finančnih storitev. EESO podpira ta pristop Komisije. Za zmanjšanje razdrobljenosti enotnega digitalnega trga za finančne storitve je nujno, da se omogoči razvoj trgov.</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Komisija navaja, da je treba proučiti vzpostavitev platforme EU za digitalne finance. EESO se strinja in priporoča, da se v ta proces vključijo socialni partnerji in predstavniki civilne družbe.</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Praktične izkušnje kažejo, da bo enotni trg za digitalne finančne storitve deloval le, če bo novim strankam omogočen hiter in enostaven dostop do finančnih storitev (vstopanje, t.</w:t>
      </w:r>
      <w:r w:rsidR="008736CC">
        <w:rPr>
          <w:szCs w:val="22"/>
          <w:lang w:val="sl-SI"/>
        </w:rPr>
        <w:t> </w:t>
      </w:r>
      <w:r w:rsidRPr="007E5A84">
        <w:rPr>
          <w:szCs w:val="22"/>
          <w:lang w:val="sl-SI"/>
        </w:rPr>
        <w:t>i. on</w:t>
      </w:r>
      <w:r w:rsidRPr="007E5A84">
        <w:rPr>
          <w:szCs w:val="22"/>
          <w:lang w:val="sl-SI"/>
        </w:rPr>
        <w:noBreakHyphen/>
        <w:t>boarding). EESO opozarja na ključno težavo na področjih, ki jih je izpostavila Komisija.</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Zaradi neenakih pravil o pranju denarja v državah članicah je čezmejna uporaba digitalnih identitet znatno težja, če ne nemogoča. Pravila o identifikaciji strank bi bilo treba uskladiti po vsej EU. EESO zato priporoča, da se zagotovi vseevropska pravna interoperabilnost digitalnih identitet.</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Pri oblikovanju strategije EU za digitalne finance ne bi smeli pozabiti na vprašanje varnosti državljanov. V strategijo bi bilo treba vključiti priporočilo državam članicam, naj hkrati z izvajanjem strategije sprejmejo pravne in organizacijske ukrepe za preprečevanje kraje identitete. Ta problem postaja z razvojem digitalnih storitev in proizvodov čedalje bolj razširjen in če ne bodo sprejeti ustrezni ukrepi, bo oviral izvajanje strategije.</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EESO podpira predloge Komisije o oblikovanju inovacijam prijaznega in konkurenčnega okvira za finančne trge, ki bo koristil potrošnikom in sektorju. Pri tem pa je treba zagotoviti, da bodo nadzorne prakse in zakonodaja EU še naprej temeljile na vodilnem načelu tehnološke nevtralnosti in pregledih obstoječih zahtev glede dokumentacije v papirni obliki.</w:t>
      </w:r>
    </w:p>
    <w:p w:rsidR="007E5A84" w:rsidRPr="007E5A84" w:rsidRDefault="007E5A84" w:rsidP="008736CC">
      <w:pPr>
        <w:rPr>
          <w:szCs w:val="22"/>
          <w:lang w:val="sl-SI"/>
        </w:rPr>
      </w:pPr>
    </w:p>
    <w:p w:rsidR="007E5A84" w:rsidRPr="007E5A84" w:rsidRDefault="007E5A84" w:rsidP="007E5A84">
      <w:pPr>
        <w:pStyle w:val="Heading2"/>
        <w:ind w:left="567" w:hanging="567"/>
        <w:rPr>
          <w:szCs w:val="22"/>
          <w:lang w:val="sl-SI"/>
        </w:rPr>
      </w:pPr>
      <w:r w:rsidRPr="007E5A84">
        <w:rPr>
          <w:szCs w:val="22"/>
          <w:lang w:val="sl-SI"/>
        </w:rPr>
        <w:t>Vendar na digitalnem trgu nekatera podjetja na področju finančne tehnologije ponujajo storitve finančnim podjetjem, medtem ko jim druga konkurirajo. EESO meni, da bi morala Komisija upoštevati ta vprašanja pri pripravi novih predpisov. Zato priporoča, naj bodo novi predpisi namenjeni podpiranju partnerstev med uveljavljenimi finančnimi institucijami in sektorjem finančne tehnologije. Čeprav je jasno, da so banke najpomembnejše institucije, bi se bilo treba v zakonodaji izogniti preprostemu dobesednemu prepisovanju zahtev, ki morda ne ustrezajo vsem vrstam finančnih storitev. V zakonodaji bi bilo treba razlikovati med produkti, namenjenimi potrošnikom, na katere je mogoče gledati kot na blago, in kompleksnejšimi produkti, pri katerih so področje uporabe in popro</w:t>
      </w:r>
      <w:r w:rsidR="008736CC">
        <w:rPr>
          <w:szCs w:val="22"/>
          <w:lang w:val="sl-SI"/>
        </w:rPr>
        <w:t>dajne storitve velikega pomena.</w:t>
      </w:r>
    </w:p>
    <w:p w:rsidR="007E5A84" w:rsidRPr="007E5A84" w:rsidRDefault="007E5A84" w:rsidP="008736CC">
      <w:pPr>
        <w:rPr>
          <w:szCs w:val="22"/>
          <w:lang w:val="sl-SI"/>
        </w:rPr>
      </w:pPr>
    </w:p>
    <w:p w:rsidR="007E5A84" w:rsidRPr="007E5A84" w:rsidRDefault="007E5A84" w:rsidP="009F671C">
      <w:pPr>
        <w:pStyle w:val="Heading2"/>
        <w:keepNext/>
        <w:keepLines/>
        <w:ind w:left="567" w:hanging="567"/>
        <w:rPr>
          <w:szCs w:val="22"/>
          <w:lang w:val="sl-SI"/>
        </w:rPr>
      </w:pPr>
      <w:r w:rsidRPr="007E5A84">
        <w:rPr>
          <w:szCs w:val="22"/>
          <w:lang w:val="sl-SI"/>
        </w:rPr>
        <w:lastRenderedPageBreak/>
        <w:t>EESO meni, da je treba souporabo podatkov razširiti zunaj finančnega sektorja, in Komisijo opozarja na svoje mnenje</w:t>
      </w:r>
      <w:r w:rsidR="00B96BD6">
        <w:rPr>
          <w:rStyle w:val="FootnoteReference"/>
          <w:szCs w:val="22"/>
          <w:lang w:val="sl-SI"/>
        </w:rPr>
        <w:footnoteReference w:id="6"/>
      </w:r>
      <w:r w:rsidRPr="007E5A84">
        <w:rPr>
          <w:szCs w:val="22"/>
          <w:lang w:val="sl-SI"/>
        </w:rPr>
        <w:t xml:space="preserve"> o sporočilu o evropski strategiji za podatke, v katerem je pozdravil njen predlog o strategiji za podatke, ki določa medsektorsko souporabo podatkov kot prednostno nalogo, njen cilj pa je izboljšanje uporabe, souporabe in upravljanja podatkov ter dostopa do njih z zakonodajnimi ukrepi za posamezne sektorje. V mnenju je tudi poudaril, da bi bilo treba vzpostaviti takšen okvir, ki bi združeval visoke standarde varstva podatkov, medsektorsko in odgovorno souporabo podatkov, jasna merila za upravljanje in kakovost podatkov po posameznih sektorjih ter večji nadzor posameznikov nad podatki. Nujno je treba zagotoviti, da se podatki, ki jih zbira odvisno podjetje za plačilne storitve velike tehnološke podjetniške skupine (BigTech), ne posredujejo matičnemu podjetju oziroma ne združujejo s podatki, ki jih to hrani. Da bi to načelo delovalo, so potrebni požarni zidovi med odvisnim podjetjem, ki opravlja plačilne storitve, in matičnim podjetjem.</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EESO meni, da so pri obravnavi izzivov in tveganj, ki so povezani z digitalno preobrazbo, pravna ureditev za ponudnike tehnologije, varstvo potrošnikov, zagotavljanje dostopa do finančnih storitev, operativna odpornost ter varnost omrežij in informacijskih sistemov bistveni za oblikovanje enotnega digitalnega trga za finančne storitve.</w:t>
      </w:r>
    </w:p>
    <w:p w:rsidR="007E5A84" w:rsidRPr="007E5A84" w:rsidRDefault="007E5A84" w:rsidP="008736CC">
      <w:pPr>
        <w:rPr>
          <w:szCs w:val="22"/>
          <w:lang w:val="sl-SI"/>
        </w:rPr>
      </w:pPr>
    </w:p>
    <w:p w:rsidR="007E5A84" w:rsidRPr="007E5A84" w:rsidRDefault="007E5A84" w:rsidP="007E5A84">
      <w:pPr>
        <w:pStyle w:val="Heading2"/>
        <w:ind w:left="567" w:hanging="567"/>
        <w:rPr>
          <w:rFonts w:eastAsiaTheme="minorHAnsi"/>
          <w:szCs w:val="22"/>
          <w:lang w:val="sl-SI"/>
        </w:rPr>
      </w:pPr>
      <w:r w:rsidRPr="007E5A84">
        <w:rPr>
          <w:szCs w:val="22"/>
          <w:lang w:val="sl-SI"/>
        </w:rPr>
        <w:t>EESO na področju kibernetske varnosti opozarja, da večina evropskih sistemskih finančnih institucij uporablja storitve finančne tehnologije, ki jih zagotavljajo podjetja zunaj EU. Zakonodajna pobuda o digitalni operativni odpornosti (DORA)</w:t>
      </w:r>
      <w:r w:rsidR="00B96BD6">
        <w:rPr>
          <w:rStyle w:val="FootnoteReference"/>
          <w:szCs w:val="22"/>
          <w:lang w:val="sl-SI"/>
        </w:rPr>
        <w:footnoteReference w:id="7"/>
      </w:r>
      <w:r w:rsidRPr="007E5A84">
        <w:rPr>
          <w:szCs w:val="22"/>
          <w:lang w:val="sl-SI"/>
        </w:rPr>
        <w:t>, ki jo je predlagala Komisija, se lahko v nekaterih primerih izkaže za nezadostno. Zato EESO pozdravlja projekt GAIA-X, ki naj bi ponudil alternativo prevladujočemu položaju ZDA in Kitajske na področju storitev v oblaku. Cilj tega projekta, pri katerem sodeluje tudi Evropska komisija, je doseči podatkovno suverenost EU ali upravljanje podatkov prek oblakovnega omrežja s sedežem v EU. Glede na to, da se bomo vse bolj zanašali na digitalne storitve, je v interesu deležnikov v EU, da so neodvisni od zunanjih ponudnikov storitev v oblaku, v interesu EU pa je, da okrepi svojo gospodarsko in politično suverenost. Poleg tega bi evropsko oblakovno omrežje olajšalo pretok p</w:t>
      </w:r>
      <w:r w:rsidR="008736CC">
        <w:rPr>
          <w:szCs w:val="22"/>
          <w:lang w:val="sl-SI"/>
        </w:rPr>
        <w:t>odatkov med državami članicami.</w:t>
      </w:r>
    </w:p>
    <w:p w:rsidR="007E5A84" w:rsidRPr="007E5A84" w:rsidRDefault="007E5A84" w:rsidP="008736CC">
      <w:pPr>
        <w:rPr>
          <w:lang w:val="sl-SI"/>
        </w:rPr>
      </w:pPr>
    </w:p>
    <w:p w:rsidR="007E5A84" w:rsidRPr="007E5A84" w:rsidRDefault="007E5A84" w:rsidP="007E5A84">
      <w:pPr>
        <w:pStyle w:val="Heading2"/>
        <w:ind w:left="567" w:hanging="567"/>
        <w:rPr>
          <w:szCs w:val="22"/>
          <w:lang w:val="sl-SI"/>
        </w:rPr>
      </w:pPr>
      <w:r w:rsidRPr="007E5A84">
        <w:rPr>
          <w:szCs w:val="22"/>
          <w:lang w:val="sl-SI"/>
        </w:rPr>
        <w:t>Zavezanost Komisije načelu „enaka dejavnost, enako tveganje, enaka pravila“ je temeljnega pomena in ima ključno vlogo pri reševanju novih izzivov, vključno z zagotavljanjem enakega nadzora. Glede na vse večji vpliv velikih tehnoloških družb, platform in tehnoloških podjetij ter koristne dejavnosti tehnoloških podjetij v finančnem sektorju EESO meni, da je posebej pomembno vzpostaviti enake konkurenčne pogoje za vse tržne akterje na tem področju.</w:t>
      </w:r>
    </w:p>
    <w:p w:rsidR="007E5A84" w:rsidRPr="007E5A84" w:rsidRDefault="007E5A84" w:rsidP="008736CC">
      <w:pPr>
        <w:rPr>
          <w:lang w:val="sl-SI"/>
        </w:rPr>
      </w:pPr>
    </w:p>
    <w:p w:rsidR="007E5A84" w:rsidRPr="007E5A84" w:rsidRDefault="007E5A84" w:rsidP="009F671C">
      <w:pPr>
        <w:pStyle w:val="Heading2"/>
        <w:keepNext/>
        <w:keepLines/>
        <w:ind w:left="567" w:hanging="567"/>
        <w:rPr>
          <w:szCs w:val="22"/>
          <w:lang w:val="sl-SI"/>
        </w:rPr>
      </w:pPr>
      <w:r w:rsidRPr="007E5A84">
        <w:rPr>
          <w:szCs w:val="22"/>
          <w:lang w:val="sl-SI"/>
        </w:rPr>
        <w:lastRenderedPageBreak/>
        <w:t>Komisija razmišlja o strategiji za podporo splošnega finančnega izobraževanja s poudarkom na digitalizaciji in vlaganje vanj. To lahko omogoči večjo odprtost digitalnih storitev in učinkovitejše varstvo potrošnikov ne glede na njihovo starost, spol ali poklicni status. EESO poziva Komisijo, naj si še naprej prizadeva v tej smeri.</w:t>
      </w:r>
    </w:p>
    <w:p w:rsidR="007E5A84" w:rsidRPr="007E5A84" w:rsidRDefault="007E5A84" w:rsidP="009F671C">
      <w:pPr>
        <w:keepNext/>
        <w:keepLines/>
        <w:rPr>
          <w:szCs w:val="22"/>
          <w:lang w:val="sl-SI"/>
        </w:rPr>
      </w:pPr>
    </w:p>
    <w:p w:rsidR="00E224D1" w:rsidRPr="007E5A84" w:rsidRDefault="00E224D1" w:rsidP="009F671C">
      <w:pPr>
        <w:keepNext/>
        <w:keepLines/>
        <w:rPr>
          <w:szCs w:val="22"/>
          <w:lang w:val="sl-SI"/>
        </w:rPr>
      </w:pPr>
      <w:r w:rsidRPr="007E5A84">
        <w:rPr>
          <w:szCs w:val="22"/>
          <w:lang w:val="sl-SI"/>
        </w:rPr>
        <w:t xml:space="preserve">V Bruslju, </w:t>
      </w:r>
      <w:r w:rsidR="008736CC" w:rsidRPr="008736CC">
        <w:rPr>
          <w:szCs w:val="22"/>
          <w:lang w:val="sl-SI"/>
        </w:rPr>
        <w:t>24. februarja 2021</w:t>
      </w:r>
      <w:r w:rsidRPr="007E5A84">
        <w:rPr>
          <w:szCs w:val="22"/>
          <w:lang w:val="sl-SI"/>
        </w:rPr>
        <w:fldChar w:fldCharType="begin"/>
      </w:r>
      <w:r w:rsidRPr="007E5A84">
        <w:rPr>
          <w:szCs w:val="22"/>
          <w:lang w:val="sl-SI"/>
        </w:rPr>
        <w:instrText xml:space="preserve">  </w:instrText>
      </w:r>
      <w:r w:rsidRPr="007E5A84">
        <w:rPr>
          <w:szCs w:val="22"/>
          <w:lang w:val="sl-SI"/>
        </w:rPr>
        <w:fldChar w:fldCharType="end"/>
      </w:r>
    </w:p>
    <w:p w:rsidR="00E224D1" w:rsidRPr="007E5A84" w:rsidRDefault="00E224D1" w:rsidP="009F671C">
      <w:pPr>
        <w:keepNext/>
        <w:keepLines/>
        <w:rPr>
          <w:szCs w:val="22"/>
          <w:lang w:val="sl-SI"/>
        </w:rPr>
      </w:pPr>
    </w:p>
    <w:p w:rsidR="00B22FEC" w:rsidRPr="007E5A84" w:rsidRDefault="00B22FEC" w:rsidP="009F671C">
      <w:pPr>
        <w:keepNext/>
        <w:keepLines/>
        <w:rPr>
          <w:szCs w:val="22"/>
          <w:lang w:val="sl-SI"/>
        </w:rPr>
      </w:pPr>
    </w:p>
    <w:p w:rsidR="00E224D1" w:rsidRPr="007E5A84" w:rsidRDefault="00E224D1" w:rsidP="009F671C">
      <w:pPr>
        <w:keepNext/>
        <w:keepLines/>
        <w:rPr>
          <w:szCs w:val="22"/>
          <w:lang w:val="sl-SI"/>
        </w:rPr>
      </w:pPr>
    </w:p>
    <w:p w:rsidR="00E224D1" w:rsidRPr="007E5A84" w:rsidRDefault="00E224D1" w:rsidP="009F671C">
      <w:pPr>
        <w:keepNext/>
        <w:keepLines/>
        <w:rPr>
          <w:szCs w:val="22"/>
          <w:lang w:val="sl-SI"/>
        </w:rPr>
      </w:pPr>
    </w:p>
    <w:p w:rsidR="00E224D1" w:rsidRPr="007E5A84" w:rsidRDefault="008736CC" w:rsidP="009F671C">
      <w:pPr>
        <w:keepNext/>
        <w:keepLines/>
        <w:rPr>
          <w:szCs w:val="22"/>
          <w:lang w:val="sl-SI"/>
        </w:rPr>
      </w:pPr>
      <w:r w:rsidRPr="008736CC">
        <w:rPr>
          <w:szCs w:val="22"/>
          <w:lang w:val="sl-SI"/>
        </w:rPr>
        <w:t>Christa SCHWENG</w:t>
      </w:r>
      <w:r w:rsidR="00E224D1" w:rsidRPr="007E5A84">
        <w:rPr>
          <w:szCs w:val="22"/>
          <w:lang w:val="sl-SI"/>
        </w:rPr>
        <w:br/>
      </w:r>
      <w:r w:rsidR="00EA3FE8">
        <w:rPr>
          <w:szCs w:val="22"/>
          <w:lang w:val="sl-SI"/>
        </w:rPr>
        <w:t>predsednica</w:t>
      </w:r>
      <w:r w:rsidR="00D12E78" w:rsidRPr="007E5A84">
        <w:rPr>
          <w:szCs w:val="22"/>
          <w:lang w:val="sl-SI"/>
        </w:rPr>
        <w:t xml:space="preserve"> </w:t>
      </w:r>
      <w:r w:rsidR="000E619D" w:rsidRPr="007E5A84">
        <w:rPr>
          <w:szCs w:val="22"/>
          <w:lang w:val="sl-SI"/>
        </w:rPr>
        <w:t>Evropskega ekonomsko-socialnega odbora</w:t>
      </w:r>
    </w:p>
    <w:p w:rsidR="00E224D1" w:rsidRPr="007E5A84" w:rsidRDefault="00E224D1" w:rsidP="0086636F">
      <w:pPr>
        <w:rPr>
          <w:szCs w:val="22"/>
          <w:lang w:val="sl-SI"/>
        </w:rPr>
      </w:pPr>
    </w:p>
    <w:p w:rsidR="00DF1F67" w:rsidRPr="007E5A84" w:rsidRDefault="00DF1F67" w:rsidP="0086636F">
      <w:pPr>
        <w:jc w:val="center"/>
        <w:rPr>
          <w:szCs w:val="22"/>
          <w:lang w:val="sl-SI"/>
        </w:rPr>
      </w:pPr>
      <w:r w:rsidRPr="007E5A84">
        <w:rPr>
          <w:szCs w:val="22"/>
          <w:lang w:val="sl-SI"/>
        </w:rPr>
        <w:t>_____________</w:t>
      </w:r>
    </w:p>
    <w:sectPr w:rsidR="00DF1F67" w:rsidRPr="007E5A84" w:rsidSect="00F20AA9">
      <w:headerReference w:type="even" r:id="rId10"/>
      <w:headerReference w:type="default" r:id="rId11"/>
      <w:footerReference w:type="even" r:id="rId12"/>
      <w:footerReference w:type="default" r:id="rId13"/>
      <w:headerReference w:type="first" r:id="rId14"/>
      <w:footerReference w:type="first" r:id="rId15"/>
      <w:pgSz w:w="11907" w:h="16839" w:code="9"/>
      <w:pgMar w:top="1418" w:right="1418" w:bottom="1418" w:left="1418"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FD" w:rsidRDefault="00D70BFD">
      <w:r>
        <w:separator/>
      </w:r>
    </w:p>
  </w:endnote>
  <w:endnote w:type="continuationSeparator" w:id="0">
    <w:p w:rsidR="00D70BFD" w:rsidRDefault="00D70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F20AA9" w:rsidP="00F20AA9">
    <w:pPr>
      <w:pStyle w:val="Footer"/>
      <w:rPr>
        <w:lang w:val="sl-SI"/>
      </w:rPr>
    </w:pPr>
    <w:r w:rsidRPr="00F20AA9">
      <w:rPr>
        <w:lang w:val="sl-SI"/>
      </w:rPr>
      <w:t xml:space="preserve">ECO/534 – EESC-2020-04935-00-00-AC-TRA (EN) </w:t>
    </w:r>
    <w:r w:rsidRPr="00F20AA9">
      <w:rPr>
        <w:lang w:val="sl-SI"/>
      </w:rPr>
      <w:fldChar w:fldCharType="begin"/>
    </w:r>
    <w:r w:rsidRPr="00F20AA9">
      <w:rPr>
        <w:lang w:val="sl-SI"/>
      </w:rPr>
      <w:instrText xml:space="preserve"> PAGE  \* Arabic  \* MERGEFORMAT </w:instrText>
    </w:r>
    <w:r w:rsidRPr="00F20AA9">
      <w:rPr>
        <w:lang w:val="sl-SI"/>
      </w:rPr>
      <w:fldChar w:fldCharType="separate"/>
    </w:r>
    <w:r w:rsidR="00B25BA2">
      <w:rPr>
        <w:noProof/>
        <w:lang w:val="sl-SI"/>
      </w:rPr>
      <w:t>1</w:t>
    </w:r>
    <w:r w:rsidRPr="00F20AA9">
      <w:rPr>
        <w:lang w:val="sl-SI"/>
      </w:rPr>
      <w:fldChar w:fldCharType="end"/>
    </w:r>
    <w:r w:rsidRPr="00F20AA9">
      <w:rPr>
        <w:lang w:val="sl-SI"/>
      </w:rPr>
      <w:t>/</w:t>
    </w:r>
    <w:r w:rsidRPr="00F20AA9">
      <w:rPr>
        <w:lang w:val="sl-SI"/>
      </w:rPr>
      <w:fldChar w:fldCharType="begin"/>
    </w:r>
    <w:r w:rsidRPr="00F20AA9">
      <w:rPr>
        <w:lang w:val="sl-SI"/>
      </w:rPr>
      <w:instrText xml:space="preserve"> = </w:instrText>
    </w:r>
    <w:r w:rsidRPr="00F20AA9">
      <w:rPr>
        <w:lang w:val="sl-SI"/>
      </w:rPr>
      <w:fldChar w:fldCharType="begin"/>
    </w:r>
    <w:r w:rsidRPr="00F20AA9">
      <w:rPr>
        <w:lang w:val="sl-SI"/>
      </w:rPr>
      <w:instrText xml:space="preserve"> NUMPAGES </w:instrText>
    </w:r>
    <w:r w:rsidRPr="00F20AA9">
      <w:rPr>
        <w:lang w:val="sl-SI"/>
      </w:rPr>
      <w:fldChar w:fldCharType="separate"/>
    </w:r>
    <w:r w:rsidR="00B25BA2">
      <w:rPr>
        <w:noProof/>
        <w:lang w:val="sl-SI"/>
      </w:rPr>
      <w:instrText>7</w:instrText>
    </w:r>
    <w:r w:rsidRPr="00F20AA9">
      <w:rPr>
        <w:lang w:val="sl-SI"/>
      </w:rPr>
      <w:fldChar w:fldCharType="end"/>
    </w:r>
    <w:r w:rsidRPr="00F20AA9">
      <w:rPr>
        <w:lang w:val="sl-SI"/>
      </w:rPr>
      <w:instrText xml:space="preserve"> -0 </w:instrText>
    </w:r>
    <w:r w:rsidRPr="00F20AA9">
      <w:rPr>
        <w:lang w:val="sl-SI"/>
      </w:rPr>
      <w:fldChar w:fldCharType="separate"/>
    </w:r>
    <w:r w:rsidR="00B25BA2">
      <w:rPr>
        <w:noProof/>
        <w:lang w:val="sl-SI"/>
      </w:rPr>
      <w:t>7</w:t>
    </w:r>
    <w:r w:rsidRPr="00F20AA9">
      <w:rPr>
        <w:lang w:val="sl-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E93E82" w:rsidP="00F20A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F20AA9" w:rsidP="00F20AA9">
    <w:pPr>
      <w:pStyle w:val="Footer"/>
      <w:rPr>
        <w:lang w:val="sl-SI"/>
      </w:rPr>
    </w:pPr>
    <w:r w:rsidRPr="00F20AA9">
      <w:rPr>
        <w:lang w:val="sl-SI"/>
      </w:rPr>
      <w:t xml:space="preserve">ECO/534 – EESC-2020-04935-00-00-AC-TRA (EN) </w:t>
    </w:r>
    <w:r w:rsidRPr="00F20AA9">
      <w:rPr>
        <w:lang w:val="sl-SI"/>
      </w:rPr>
      <w:fldChar w:fldCharType="begin"/>
    </w:r>
    <w:r w:rsidRPr="00F20AA9">
      <w:rPr>
        <w:lang w:val="sl-SI"/>
      </w:rPr>
      <w:instrText xml:space="preserve"> PAGE  \* Arabic  \* MERGEFORMAT </w:instrText>
    </w:r>
    <w:r w:rsidRPr="00F20AA9">
      <w:rPr>
        <w:lang w:val="sl-SI"/>
      </w:rPr>
      <w:fldChar w:fldCharType="separate"/>
    </w:r>
    <w:r w:rsidR="00B25BA2">
      <w:rPr>
        <w:noProof/>
        <w:lang w:val="sl-SI"/>
      </w:rPr>
      <w:t>7</w:t>
    </w:r>
    <w:r w:rsidRPr="00F20AA9">
      <w:rPr>
        <w:lang w:val="sl-SI"/>
      </w:rPr>
      <w:fldChar w:fldCharType="end"/>
    </w:r>
    <w:r w:rsidRPr="00F20AA9">
      <w:rPr>
        <w:lang w:val="sl-SI"/>
      </w:rPr>
      <w:t>/</w:t>
    </w:r>
    <w:r w:rsidRPr="00F20AA9">
      <w:rPr>
        <w:lang w:val="sl-SI"/>
      </w:rPr>
      <w:fldChar w:fldCharType="begin"/>
    </w:r>
    <w:r w:rsidRPr="00F20AA9">
      <w:rPr>
        <w:lang w:val="sl-SI"/>
      </w:rPr>
      <w:instrText xml:space="preserve"> = </w:instrText>
    </w:r>
    <w:r w:rsidRPr="00F20AA9">
      <w:rPr>
        <w:lang w:val="sl-SI"/>
      </w:rPr>
      <w:fldChar w:fldCharType="begin"/>
    </w:r>
    <w:r w:rsidRPr="00F20AA9">
      <w:rPr>
        <w:lang w:val="sl-SI"/>
      </w:rPr>
      <w:instrText xml:space="preserve"> NUMPAGES </w:instrText>
    </w:r>
    <w:r w:rsidRPr="00F20AA9">
      <w:rPr>
        <w:lang w:val="sl-SI"/>
      </w:rPr>
      <w:fldChar w:fldCharType="separate"/>
    </w:r>
    <w:r w:rsidR="00B25BA2">
      <w:rPr>
        <w:noProof/>
        <w:lang w:val="sl-SI"/>
      </w:rPr>
      <w:instrText>7</w:instrText>
    </w:r>
    <w:r w:rsidRPr="00F20AA9">
      <w:rPr>
        <w:lang w:val="sl-SI"/>
      </w:rPr>
      <w:fldChar w:fldCharType="end"/>
    </w:r>
    <w:r w:rsidRPr="00F20AA9">
      <w:rPr>
        <w:lang w:val="sl-SI"/>
      </w:rPr>
      <w:instrText xml:space="preserve"> -0 </w:instrText>
    </w:r>
    <w:r w:rsidRPr="00F20AA9">
      <w:rPr>
        <w:lang w:val="sl-SI"/>
      </w:rPr>
      <w:fldChar w:fldCharType="separate"/>
    </w:r>
    <w:r w:rsidR="00B25BA2">
      <w:rPr>
        <w:noProof/>
        <w:lang w:val="sl-SI"/>
      </w:rPr>
      <w:t>7</w:t>
    </w:r>
    <w:r w:rsidRPr="00F20AA9">
      <w:rPr>
        <w:lang w:val="sl-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E93E82" w:rsidP="00F20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FD" w:rsidRDefault="00D70BFD">
      <w:r>
        <w:separator/>
      </w:r>
    </w:p>
  </w:footnote>
  <w:footnote w:type="continuationSeparator" w:id="0">
    <w:p w:rsidR="00D70BFD" w:rsidRDefault="00D70BFD">
      <w:r>
        <w:continuationSeparator/>
      </w:r>
    </w:p>
  </w:footnote>
  <w:footnote w:id="1">
    <w:p w:rsidR="008B66E9" w:rsidRPr="003F306D" w:rsidRDefault="008B66E9"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1" w:history="1">
        <w:r w:rsidRPr="003F306D">
          <w:rPr>
            <w:rStyle w:val="Hyperlink"/>
            <w:szCs w:val="16"/>
            <w:lang w:val="sl-SI"/>
          </w:rPr>
          <w:t>COM(2020) 591 final</w:t>
        </w:r>
      </w:hyperlink>
      <w:r w:rsidRPr="003F306D">
        <w:rPr>
          <w:lang w:val="sl-SI"/>
        </w:rPr>
        <w:t>.</w:t>
      </w:r>
    </w:p>
  </w:footnote>
  <w:footnote w:id="2">
    <w:p w:rsidR="008B66E9" w:rsidRPr="003F306D" w:rsidRDefault="008B66E9"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2" w:history="1">
        <w:r w:rsidRPr="003F306D">
          <w:rPr>
            <w:rStyle w:val="Hyperlink"/>
            <w:szCs w:val="16"/>
            <w:lang w:val="sl-SI"/>
          </w:rPr>
          <w:t>COM(2020) 592 final</w:t>
        </w:r>
      </w:hyperlink>
      <w:r w:rsidRPr="003F306D">
        <w:rPr>
          <w:lang w:val="sl-SI"/>
        </w:rPr>
        <w:t>.</w:t>
      </w:r>
    </w:p>
  </w:footnote>
  <w:footnote w:id="3">
    <w:p w:rsidR="008B66E9" w:rsidRPr="003F306D" w:rsidRDefault="008B66E9"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3" w:history="1">
        <w:r w:rsidRPr="003F306D">
          <w:rPr>
            <w:rStyle w:val="Hyperlink"/>
            <w:szCs w:val="16"/>
            <w:lang w:val="sl-SI"/>
          </w:rPr>
          <w:t>COM(2020) 593 final</w:t>
        </w:r>
      </w:hyperlink>
      <w:r w:rsidRPr="003F306D">
        <w:rPr>
          <w:lang w:val="sl-SI"/>
        </w:rPr>
        <w:t>.</w:t>
      </w:r>
    </w:p>
  </w:footnote>
  <w:footnote w:id="4">
    <w:p w:rsidR="008B66E9" w:rsidRPr="003F306D" w:rsidRDefault="008B66E9"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4" w:history="1">
        <w:r w:rsidRPr="003F306D">
          <w:rPr>
            <w:rStyle w:val="Hyperlink"/>
            <w:lang w:val="sl-SI"/>
          </w:rPr>
          <w:t>COM(2020) 594 final</w:t>
        </w:r>
      </w:hyperlink>
      <w:r w:rsidR="00B96BD6" w:rsidRPr="003F306D">
        <w:rPr>
          <w:lang w:val="sl-SI"/>
        </w:rPr>
        <w:t>.</w:t>
      </w:r>
    </w:p>
  </w:footnote>
  <w:footnote w:id="5">
    <w:p w:rsidR="008B66E9" w:rsidRPr="003F306D" w:rsidRDefault="008B66E9"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5" w:history="1">
        <w:r w:rsidRPr="003F306D">
          <w:rPr>
            <w:rStyle w:val="Hyperlink"/>
            <w:szCs w:val="16"/>
            <w:lang w:val="sl-SI"/>
          </w:rPr>
          <w:t>COM(2020) 595 final</w:t>
        </w:r>
      </w:hyperlink>
      <w:r w:rsidRPr="003F306D">
        <w:rPr>
          <w:szCs w:val="16"/>
          <w:lang w:val="sl-SI"/>
        </w:rPr>
        <w:t xml:space="preserve"> in </w:t>
      </w:r>
      <w:hyperlink r:id="rId6" w:history="1">
        <w:r w:rsidRPr="003F306D">
          <w:rPr>
            <w:rStyle w:val="Hyperlink"/>
            <w:szCs w:val="16"/>
            <w:lang w:val="sl-SI"/>
          </w:rPr>
          <w:t>COM(2020) 596 final</w:t>
        </w:r>
      </w:hyperlink>
      <w:r w:rsidRPr="003F306D">
        <w:rPr>
          <w:lang w:val="sl-SI"/>
        </w:rPr>
        <w:t>.</w:t>
      </w:r>
    </w:p>
  </w:footnote>
  <w:footnote w:id="6">
    <w:p w:rsidR="00B96BD6" w:rsidRPr="003F306D" w:rsidRDefault="00B96BD6"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7" w:history="1">
        <w:r w:rsidRPr="003F306D">
          <w:rPr>
            <w:rStyle w:val="Hyperlink"/>
            <w:lang w:val="sl-SI"/>
          </w:rPr>
          <w:t>UL C 429, 11.12.2020, str. 290</w:t>
        </w:r>
      </w:hyperlink>
      <w:r w:rsidRPr="003F306D">
        <w:rPr>
          <w:lang w:val="sl-SI"/>
        </w:rPr>
        <w:t>.</w:t>
      </w:r>
    </w:p>
  </w:footnote>
  <w:footnote w:id="7">
    <w:p w:rsidR="00B96BD6" w:rsidRPr="003F306D" w:rsidRDefault="00B96BD6" w:rsidP="003F306D">
      <w:pPr>
        <w:pStyle w:val="FootnoteText"/>
        <w:ind w:left="567" w:hanging="567"/>
        <w:rPr>
          <w:lang w:val="sl-SI"/>
        </w:rPr>
      </w:pPr>
      <w:r w:rsidRPr="003F306D">
        <w:rPr>
          <w:rStyle w:val="FootnoteReference"/>
          <w:lang w:val="sl-SI"/>
        </w:rPr>
        <w:footnoteRef/>
      </w:r>
      <w:r w:rsidRPr="003F306D">
        <w:rPr>
          <w:lang w:val="sl-SI"/>
        </w:rPr>
        <w:t xml:space="preserve"> </w:t>
      </w:r>
      <w:r w:rsidRPr="003F306D">
        <w:rPr>
          <w:lang w:val="sl-SI"/>
        </w:rPr>
        <w:tab/>
      </w:r>
      <w:hyperlink r:id="rId8" w:history="1">
        <w:r w:rsidRPr="003F306D">
          <w:rPr>
            <w:rStyle w:val="Hyperlink"/>
            <w:lang w:val="sl-SI"/>
          </w:rPr>
          <w:t>COM(2020) 595 final</w:t>
        </w:r>
      </w:hyperlink>
      <w:r w:rsidRPr="003F306D">
        <w:rPr>
          <w:lang w:val="sl-SI"/>
        </w:rPr>
        <w:t xml:space="preserve">. Glej tudi s tem povezano </w:t>
      </w:r>
      <w:hyperlink r:id="rId9" w:history="1">
        <w:r w:rsidRPr="003F306D">
          <w:rPr>
            <w:rStyle w:val="Hyperlink"/>
            <w:lang w:val="sl-SI"/>
          </w:rPr>
          <w:t xml:space="preserve">mnenje EESO </w:t>
        </w:r>
        <w:r w:rsidRPr="003F306D">
          <w:rPr>
            <w:rStyle w:val="Hyperlink"/>
            <w:i/>
            <w:szCs w:val="16"/>
            <w:lang w:val="sl-SI"/>
          </w:rPr>
          <w:t>Digitalna operativna odpornost</w:t>
        </w:r>
        <w:r w:rsidRPr="003F306D">
          <w:rPr>
            <w:rStyle w:val="Hyperlink"/>
            <w:lang w:val="sl-SI"/>
          </w:rPr>
          <w:t xml:space="preserve"> (ECO/536)</w:t>
        </w:r>
      </w:hyperlink>
      <w:r w:rsidRPr="003F306D">
        <w:rPr>
          <w:lang w:val="sl-SI"/>
        </w:rPr>
        <w:t>. Še ni objavljeno.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E93E82" w:rsidP="00F20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E93E82" w:rsidP="00F20A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82" w:rsidRPr="00F20AA9" w:rsidRDefault="00E93E82" w:rsidP="00F20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0C2"/>
    <w:rsid w:val="000033D2"/>
    <w:rsid w:val="000D64E1"/>
    <w:rsid w:val="000E619D"/>
    <w:rsid w:val="00114E22"/>
    <w:rsid w:val="001278C5"/>
    <w:rsid w:val="00164B24"/>
    <w:rsid w:val="00196AFA"/>
    <w:rsid w:val="00220357"/>
    <w:rsid w:val="00244E3F"/>
    <w:rsid w:val="002856B9"/>
    <w:rsid w:val="002A298C"/>
    <w:rsid w:val="003142E3"/>
    <w:rsid w:val="0034713D"/>
    <w:rsid w:val="00360E2B"/>
    <w:rsid w:val="003B641A"/>
    <w:rsid w:val="003F306D"/>
    <w:rsid w:val="003F5784"/>
    <w:rsid w:val="0040062B"/>
    <w:rsid w:val="00422F47"/>
    <w:rsid w:val="004557B1"/>
    <w:rsid w:val="00476D1D"/>
    <w:rsid w:val="004F75B9"/>
    <w:rsid w:val="00511A25"/>
    <w:rsid w:val="005C3C26"/>
    <w:rsid w:val="006328C8"/>
    <w:rsid w:val="006E60D1"/>
    <w:rsid w:val="006F7215"/>
    <w:rsid w:val="00740610"/>
    <w:rsid w:val="007801A9"/>
    <w:rsid w:val="007828C1"/>
    <w:rsid w:val="007A3F0A"/>
    <w:rsid w:val="007B3AC7"/>
    <w:rsid w:val="007E5A84"/>
    <w:rsid w:val="007F0222"/>
    <w:rsid w:val="0086636F"/>
    <w:rsid w:val="008736CC"/>
    <w:rsid w:val="008A67FD"/>
    <w:rsid w:val="008B66E9"/>
    <w:rsid w:val="008D61EB"/>
    <w:rsid w:val="008E51B0"/>
    <w:rsid w:val="00941485"/>
    <w:rsid w:val="00981077"/>
    <w:rsid w:val="00984BC4"/>
    <w:rsid w:val="00995F56"/>
    <w:rsid w:val="009D06FB"/>
    <w:rsid w:val="009E3A9F"/>
    <w:rsid w:val="009F3AD3"/>
    <w:rsid w:val="009F671C"/>
    <w:rsid w:val="009F71E6"/>
    <w:rsid w:val="009F78FC"/>
    <w:rsid w:val="00A55EC3"/>
    <w:rsid w:val="00AA2DDE"/>
    <w:rsid w:val="00AB5674"/>
    <w:rsid w:val="00B10422"/>
    <w:rsid w:val="00B22FEC"/>
    <w:rsid w:val="00B25BA2"/>
    <w:rsid w:val="00B324D9"/>
    <w:rsid w:val="00B85D7F"/>
    <w:rsid w:val="00B96BD6"/>
    <w:rsid w:val="00BB5019"/>
    <w:rsid w:val="00BB6D8A"/>
    <w:rsid w:val="00BC6A0F"/>
    <w:rsid w:val="00C22766"/>
    <w:rsid w:val="00C7207C"/>
    <w:rsid w:val="00C97255"/>
    <w:rsid w:val="00CB7493"/>
    <w:rsid w:val="00CE080E"/>
    <w:rsid w:val="00D12E78"/>
    <w:rsid w:val="00D25287"/>
    <w:rsid w:val="00D46331"/>
    <w:rsid w:val="00D70BFD"/>
    <w:rsid w:val="00D86817"/>
    <w:rsid w:val="00DA5F5F"/>
    <w:rsid w:val="00DC31BB"/>
    <w:rsid w:val="00DC52C7"/>
    <w:rsid w:val="00DE6440"/>
    <w:rsid w:val="00DF1F67"/>
    <w:rsid w:val="00E224D1"/>
    <w:rsid w:val="00E32880"/>
    <w:rsid w:val="00E37C1D"/>
    <w:rsid w:val="00E7120E"/>
    <w:rsid w:val="00E93E82"/>
    <w:rsid w:val="00EA3FE8"/>
    <w:rsid w:val="00EF2050"/>
    <w:rsid w:val="00F14746"/>
    <w:rsid w:val="00F20AA9"/>
    <w:rsid w:val="00F3573B"/>
    <w:rsid w:val="00F428CE"/>
    <w:rsid w:val="00F50B2E"/>
    <w:rsid w:val="00F570C2"/>
    <w:rsid w:val="00F941A8"/>
    <w:rsid w:val="00FC4AEF"/>
    <w:rsid w:val="00FE351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86D1DFD-DA3C-413D-B348-F51BCF57890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F47"/>
    <w:pPr>
      <w:overflowPunct w:val="0"/>
      <w:autoSpaceDE w:val="0"/>
      <w:autoSpaceDN w:val="0"/>
      <w:adjustRightInd w:val="0"/>
      <w:spacing w:line="288" w:lineRule="auto"/>
      <w:jc w:val="both"/>
      <w:textAlignment w:val="baseline"/>
    </w:pPr>
    <w:rPr>
      <w:sz w:val="22"/>
      <w:lang w:val="en-GB" w:eastAsia="en-US"/>
    </w:rPr>
  </w:style>
  <w:style w:type="paragraph" w:styleId="Heading1">
    <w:name w:val="heading 1"/>
    <w:basedOn w:val="Normal"/>
    <w:next w:val="Normal"/>
    <w:link w:val="Heading1Char"/>
    <w:qFormat/>
    <w:rsid w:val="00422F47"/>
    <w:pPr>
      <w:numPr>
        <w:numId w:val="1"/>
      </w:numPr>
      <w:ind w:left="720" w:hanging="720"/>
      <w:outlineLvl w:val="0"/>
    </w:pPr>
    <w:rPr>
      <w:kern w:val="28"/>
    </w:rPr>
  </w:style>
  <w:style w:type="paragraph" w:styleId="Heading2">
    <w:name w:val="heading 2"/>
    <w:basedOn w:val="Normal"/>
    <w:next w:val="Normal"/>
    <w:link w:val="Heading2Char"/>
    <w:qFormat/>
    <w:rsid w:val="00422F47"/>
    <w:pPr>
      <w:numPr>
        <w:ilvl w:val="1"/>
        <w:numId w:val="1"/>
      </w:numPr>
      <w:ind w:left="720" w:hanging="720"/>
      <w:outlineLvl w:val="1"/>
    </w:pPr>
  </w:style>
  <w:style w:type="paragraph" w:styleId="Heading3">
    <w:name w:val="heading 3"/>
    <w:basedOn w:val="Normal"/>
    <w:next w:val="Normal"/>
    <w:link w:val="Heading3Char"/>
    <w:qFormat/>
    <w:rsid w:val="00422F47"/>
    <w:pPr>
      <w:numPr>
        <w:ilvl w:val="2"/>
        <w:numId w:val="1"/>
      </w:numPr>
      <w:ind w:left="720" w:hanging="720"/>
      <w:outlineLvl w:val="2"/>
    </w:pPr>
  </w:style>
  <w:style w:type="paragraph" w:styleId="Heading4">
    <w:name w:val="heading 4"/>
    <w:basedOn w:val="Normal"/>
    <w:next w:val="Normal"/>
    <w:link w:val="Heading4Char"/>
    <w:qFormat/>
    <w:rsid w:val="00422F47"/>
    <w:pPr>
      <w:numPr>
        <w:ilvl w:val="3"/>
        <w:numId w:val="1"/>
      </w:numPr>
      <w:ind w:left="720" w:hanging="720"/>
      <w:outlineLvl w:val="3"/>
    </w:pPr>
  </w:style>
  <w:style w:type="paragraph" w:styleId="Heading5">
    <w:name w:val="heading 5"/>
    <w:basedOn w:val="Normal"/>
    <w:next w:val="Normal"/>
    <w:link w:val="Heading5Char"/>
    <w:qFormat/>
    <w:rsid w:val="00422F47"/>
    <w:pPr>
      <w:numPr>
        <w:ilvl w:val="4"/>
        <w:numId w:val="1"/>
      </w:numPr>
      <w:ind w:left="720" w:hanging="720"/>
      <w:outlineLvl w:val="4"/>
    </w:pPr>
  </w:style>
  <w:style w:type="paragraph" w:styleId="Heading6">
    <w:name w:val="heading 6"/>
    <w:basedOn w:val="Normal"/>
    <w:next w:val="Normal"/>
    <w:link w:val="Heading6Char"/>
    <w:qFormat/>
    <w:rsid w:val="00422F47"/>
    <w:pPr>
      <w:numPr>
        <w:ilvl w:val="5"/>
        <w:numId w:val="1"/>
      </w:numPr>
      <w:ind w:left="720" w:hanging="720"/>
      <w:outlineLvl w:val="5"/>
    </w:pPr>
  </w:style>
  <w:style w:type="paragraph" w:styleId="Heading7">
    <w:name w:val="heading 7"/>
    <w:basedOn w:val="Normal"/>
    <w:next w:val="Normal"/>
    <w:link w:val="Heading7Char"/>
    <w:qFormat/>
    <w:rsid w:val="00422F47"/>
    <w:pPr>
      <w:numPr>
        <w:ilvl w:val="6"/>
        <w:numId w:val="1"/>
      </w:numPr>
      <w:ind w:left="720" w:hanging="720"/>
      <w:outlineLvl w:val="6"/>
    </w:pPr>
  </w:style>
  <w:style w:type="paragraph" w:styleId="Heading8">
    <w:name w:val="heading 8"/>
    <w:basedOn w:val="Normal"/>
    <w:next w:val="Normal"/>
    <w:link w:val="Heading8Char"/>
    <w:qFormat/>
    <w:rsid w:val="00422F47"/>
    <w:pPr>
      <w:numPr>
        <w:ilvl w:val="7"/>
        <w:numId w:val="1"/>
      </w:numPr>
      <w:ind w:left="720" w:hanging="720"/>
      <w:outlineLvl w:val="7"/>
    </w:pPr>
  </w:style>
  <w:style w:type="paragraph" w:styleId="Heading9">
    <w:name w:val="heading 9"/>
    <w:basedOn w:val="Normal"/>
    <w:next w:val="Normal"/>
    <w:link w:val="Heading9Char"/>
    <w:qFormat/>
    <w:rsid w:val="00422F47"/>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E25"/>
    <w:rPr>
      <w:rFonts w:asciiTheme="majorHAnsi" w:eastAsiaTheme="majorEastAsia" w:hAnsiTheme="majorHAnsi" w:cstheme="majorBidi"/>
      <w:b/>
      <w:bCs/>
      <w:color w:val="365F91" w:themeColor="accent1" w:themeShade="BF"/>
      <w:sz w:val="28"/>
      <w:szCs w:val="28"/>
      <w:lang w:val="en-GB" w:eastAsia="en-US"/>
    </w:rPr>
  </w:style>
  <w:style w:type="character" w:customStyle="1" w:styleId="Heading2Char">
    <w:name w:val="Heading 2 Char"/>
    <w:basedOn w:val="DefaultParagraphFont"/>
    <w:link w:val="Heading2"/>
    <w:uiPriority w:val="9"/>
    <w:rsid w:val="00ED6E25"/>
    <w:rPr>
      <w:rFonts w:asciiTheme="majorHAnsi" w:eastAsiaTheme="majorEastAsia" w:hAnsiTheme="majorHAnsi" w:cstheme="majorBidi"/>
      <w:b/>
      <w:bCs/>
      <w:color w:val="4F81BD" w:themeColor="accent1"/>
      <w:sz w:val="26"/>
      <w:szCs w:val="26"/>
      <w:lang w:val="en-GB" w:eastAsia="en-US"/>
    </w:rPr>
  </w:style>
  <w:style w:type="character" w:customStyle="1" w:styleId="Heading3Char">
    <w:name w:val="Heading 3 Char"/>
    <w:basedOn w:val="DefaultParagraphFont"/>
    <w:link w:val="Heading3"/>
    <w:uiPriority w:val="9"/>
    <w:semiHidden/>
    <w:rsid w:val="00ED6E25"/>
    <w:rPr>
      <w:rFonts w:asciiTheme="majorHAnsi" w:eastAsiaTheme="majorEastAsia" w:hAnsiTheme="majorHAnsi" w:cstheme="majorBidi"/>
      <w:b/>
      <w:bCs/>
      <w:color w:val="4F81BD" w:themeColor="accent1"/>
      <w:sz w:val="22"/>
      <w:lang w:val="en-GB" w:eastAsia="en-US"/>
    </w:rPr>
  </w:style>
  <w:style w:type="character" w:customStyle="1" w:styleId="Heading4Char">
    <w:name w:val="Heading 4 Char"/>
    <w:basedOn w:val="DefaultParagraphFont"/>
    <w:link w:val="Heading4"/>
    <w:uiPriority w:val="9"/>
    <w:semiHidden/>
    <w:rsid w:val="00ED6E25"/>
    <w:rPr>
      <w:rFonts w:asciiTheme="majorHAnsi" w:eastAsiaTheme="majorEastAsia" w:hAnsiTheme="majorHAnsi" w:cstheme="majorBidi"/>
      <w:b/>
      <w:bCs/>
      <w:i/>
      <w:iCs/>
      <w:color w:val="4F81BD" w:themeColor="accent1"/>
      <w:sz w:val="22"/>
      <w:lang w:val="en-GB" w:eastAsia="en-US"/>
    </w:rPr>
  </w:style>
  <w:style w:type="character" w:customStyle="1" w:styleId="Heading5Char">
    <w:name w:val="Heading 5 Char"/>
    <w:basedOn w:val="DefaultParagraphFont"/>
    <w:link w:val="Heading5"/>
    <w:uiPriority w:val="9"/>
    <w:semiHidden/>
    <w:rsid w:val="00ED6E25"/>
    <w:rPr>
      <w:rFonts w:asciiTheme="majorHAnsi" w:eastAsiaTheme="majorEastAsia" w:hAnsiTheme="majorHAnsi" w:cstheme="majorBidi"/>
      <w:color w:val="243F60" w:themeColor="accent1" w:themeShade="7F"/>
      <w:sz w:val="22"/>
      <w:lang w:val="en-GB" w:eastAsia="en-US"/>
    </w:rPr>
  </w:style>
  <w:style w:type="character" w:customStyle="1" w:styleId="Heading6Char">
    <w:name w:val="Heading 6 Char"/>
    <w:basedOn w:val="DefaultParagraphFont"/>
    <w:link w:val="Heading6"/>
    <w:uiPriority w:val="9"/>
    <w:semiHidden/>
    <w:rsid w:val="00ED6E25"/>
    <w:rPr>
      <w:rFonts w:asciiTheme="majorHAnsi" w:eastAsiaTheme="majorEastAsia" w:hAnsiTheme="majorHAnsi" w:cstheme="majorBidi"/>
      <w:i/>
      <w:iCs/>
      <w:color w:val="243F60" w:themeColor="accent1" w:themeShade="7F"/>
      <w:sz w:val="22"/>
      <w:lang w:val="en-GB" w:eastAsia="en-US"/>
    </w:rPr>
  </w:style>
  <w:style w:type="character" w:customStyle="1" w:styleId="Heading7Char">
    <w:name w:val="Heading 7 Char"/>
    <w:basedOn w:val="DefaultParagraphFont"/>
    <w:link w:val="Heading7"/>
    <w:uiPriority w:val="9"/>
    <w:semiHidden/>
    <w:rsid w:val="00ED6E25"/>
    <w:rPr>
      <w:rFonts w:asciiTheme="majorHAnsi" w:eastAsiaTheme="majorEastAsia" w:hAnsiTheme="majorHAnsi" w:cstheme="majorBidi"/>
      <w:i/>
      <w:iCs/>
      <w:color w:val="404040" w:themeColor="text1" w:themeTint="BF"/>
      <w:sz w:val="22"/>
      <w:lang w:val="en-GB" w:eastAsia="en-US"/>
    </w:rPr>
  </w:style>
  <w:style w:type="character" w:customStyle="1" w:styleId="Heading8Char">
    <w:name w:val="Heading 8 Char"/>
    <w:basedOn w:val="DefaultParagraphFont"/>
    <w:link w:val="Heading8"/>
    <w:uiPriority w:val="9"/>
    <w:semiHidden/>
    <w:rsid w:val="00ED6E25"/>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uiPriority w:val="9"/>
    <w:semiHidden/>
    <w:rsid w:val="00ED6E25"/>
    <w:rPr>
      <w:rFonts w:asciiTheme="majorHAnsi" w:eastAsiaTheme="majorEastAsia" w:hAnsiTheme="majorHAnsi" w:cstheme="majorBidi"/>
      <w:i/>
      <w:iCs/>
      <w:color w:val="404040" w:themeColor="text1" w:themeTint="BF"/>
      <w:lang w:val="en-GB" w:eastAsia="en-US"/>
    </w:rPr>
  </w:style>
  <w:style w:type="paragraph" w:styleId="Footer">
    <w:name w:val="footer"/>
    <w:basedOn w:val="Normal"/>
    <w:link w:val="FooterChar"/>
    <w:uiPriority w:val="99"/>
    <w:rsid w:val="00422F47"/>
  </w:style>
  <w:style w:type="character" w:customStyle="1" w:styleId="FooterChar">
    <w:name w:val="Footer Char"/>
    <w:basedOn w:val="DefaultParagraphFont"/>
    <w:link w:val="Footer"/>
    <w:uiPriority w:val="99"/>
    <w:semiHidden/>
    <w:rsid w:val="00ED6E25"/>
    <w:rPr>
      <w:sz w:val="22"/>
      <w:lang w:val="en-GB" w:eastAsia="en-US"/>
    </w:rPr>
  </w:style>
  <w:style w:type="paragraph" w:styleId="FootnoteText">
    <w:name w:val="footnote text"/>
    <w:basedOn w:val="Normal"/>
    <w:link w:val="FootnoteTextChar"/>
    <w:qFormat/>
    <w:rsid w:val="00422F47"/>
    <w:pPr>
      <w:keepLines/>
      <w:spacing w:after="60" w:line="240" w:lineRule="auto"/>
      <w:ind w:left="720" w:hanging="720"/>
    </w:pPr>
    <w:rPr>
      <w:sz w:val="16"/>
    </w:rPr>
  </w:style>
  <w:style w:type="character" w:customStyle="1" w:styleId="FootnoteTextChar">
    <w:name w:val="Footnote Text Char"/>
    <w:basedOn w:val="DefaultParagraphFont"/>
    <w:link w:val="FootnoteText"/>
    <w:rsid w:val="00ED6E25"/>
    <w:rPr>
      <w:lang w:val="en-GB" w:eastAsia="en-US"/>
    </w:rPr>
  </w:style>
  <w:style w:type="paragraph" w:styleId="Header">
    <w:name w:val="header"/>
    <w:basedOn w:val="Normal"/>
    <w:link w:val="HeaderChar"/>
    <w:uiPriority w:val="99"/>
    <w:rsid w:val="00422F47"/>
  </w:style>
  <w:style w:type="character" w:customStyle="1" w:styleId="HeaderChar">
    <w:name w:val="Header Char"/>
    <w:basedOn w:val="DefaultParagraphFont"/>
    <w:link w:val="Header"/>
    <w:uiPriority w:val="99"/>
    <w:semiHidden/>
    <w:rsid w:val="00ED6E25"/>
    <w:rPr>
      <w:sz w:val="22"/>
      <w:lang w:val="en-GB" w:eastAsia="en-US"/>
    </w:rPr>
  </w:style>
  <w:style w:type="paragraph" w:customStyle="1" w:styleId="quotes">
    <w:name w:val="quotes"/>
    <w:basedOn w:val="Normal"/>
    <w:next w:val="Normal"/>
    <w:rsid w:val="00422F47"/>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qFormat/>
    <w:rsid w:val="00422F47"/>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L/TXT/?uri=CELEX:52020PC0595&amp;qid=1605625322451" TargetMode="External"/><Relationship Id="rId3" Type="http://schemas.openxmlformats.org/officeDocument/2006/relationships/hyperlink" Target="https://eur-lex.europa.eu/legal-content/SL/TXT/?uri=CELEX:52020PC0593&amp;qid=1605625281051" TargetMode="External"/><Relationship Id="rId7" Type="http://schemas.openxmlformats.org/officeDocument/2006/relationships/hyperlink" Target="https://eur-lex.europa.eu/legal-content/SL/TXT/?uri=CELEX:52020AE1042&amp;qid=1601415540830" TargetMode="External"/><Relationship Id="rId2" Type="http://schemas.openxmlformats.org/officeDocument/2006/relationships/hyperlink" Target="https://eur-lex.europa.eu/legal-content/SL/TXT/?uri=COM:2020:0592:FIN" TargetMode="External"/><Relationship Id="rId1" Type="http://schemas.openxmlformats.org/officeDocument/2006/relationships/hyperlink" Target="https://eur-lex.europa.eu/legal-content/SL/TXT/?uri=CELEX:52020DC0591" TargetMode="External"/><Relationship Id="rId6" Type="http://schemas.openxmlformats.org/officeDocument/2006/relationships/hyperlink" Target="https://eur-lex.europa.eu/legal-content/SL/TXT/?uri=CELEX:52020PC0596&amp;qid=1605625359281" TargetMode="External"/><Relationship Id="rId5" Type="http://schemas.openxmlformats.org/officeDocument/2006/relationships/hyperlink" Target="https://eur-lex.europa.eu/legal-content/SL/TXT/?uri=CELEX:52020PC0595&amp;qid=1605625322451" TargetMode="External"/><Relationship Id="rId4" Type="http://schemas.openxmlformats.org/officeDocument/2006/relationships/hyperlink" Target="https://eur-lex.europa.eu/legal-content/SL/TXT/?uri=CELEX:52020PC0594" TargetMode="External"/><Relationship Id="rId9" Type="http://schemas.openxmlformats.org/officeDocument/2006/relationships/hyperlink" Target="https://www.eesc.europa.eu/sl/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VV634QRNENMJ-592872750-7323</_dlc_DocId>
    <_dlc_DocIdUrl xmlns="cda99570-6012-4083-bfeb-7d32ad1ce1a3">
      <Url>http://dm2016/eesc/2020/_layouts/15/DocIdRedir.aspx?ID=VV634QRNENMJ-592872750-7323</Url>
      <Description>VV634QRNENMJ-592872750-7323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B15A154-EA18-490F-9CF0-5229C8CDD063}"/>
</file>

<file path=customXml/itemProps2.xml><?xml version="1.0" encoding="utf-8"?>
<ds:datastoreItem xmlns:ds="http://schemas.openxmlformats.org/officeDocument/2006/customXml" ds:itemID="{F95D63C0-6C2E-46CC-9117-8916E27B3045}"/>
</file>

<file path=customXml/itemProps3.xml><?xml version="1.0" encoding="utf-8"?>
<ds:datastoreItem xmlns:ds="http://schemas.openxmlformats.org/officeDocument/2006/customXml" ds:itemID="{78D59668-B391-4946-8229-1A1C8F435E1B}"/>
</file>

<file path=customXml/itemProps4.xml><?xml version="1.0" encoding="utf-8"?>
<ds:datastoreItem xmlns:ds="http://schemas.openxmlformats.org/officeDocument/2006/customXml" ds:itemID="{A41444D4-E1C9-4462-B712-6B853258A09C}"/>
</file>

<file path=docProps/app.xml><?xml version="1.0" encoding="utf-8"?>
<Properties xmlns="http://schemas.openxmlformats.org/officeDocument/2006/extended-properties" xmlns:vt="http://schemas.openxmlformats.org/officeDocument/2006/docPropsVTypes">
  <Template>Styles.dotm</Template>
  <TotalTime>8</TotalTime>
  <Pages>7</Pages>
  <Words>1788</Words>
  <Characters>10195</Characters>
  <Application>Microsoft Office Word</Application>
  <DocSecurity>0</DocSecurity>
  <Lines>84</Lines>
  <Paragraphs>23</Paragraphs>
  <ScaleCrop>false</ScaleCrop>
  <Company>CESE-CdR</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Strategija za digitalne finance</dc:title>
  <dc:creator>Turel Metka</dc:creator>
  <cp:keywords>EESC-2020-04935-00-00-AC-TRA-EN</cp:keywords>
  <dc:description>Rapporteur: DANDEA &amp; FRANK VON FÜRSTENWERTH - Original language: EN - Date of document: 02/03/2021 - Date of meeting:  - External documents: COM(2020)591-final - Administrator: M. KLEC Gerald</dc:description>
  <cp:lastModifiedBy>Turel Metka</cp:lastModifiedBy>
  <cp:revision>15</cp:revision>
  <cp:lastPrinted>2004-03-03T12:53:00Z</cp:lastPrinted>
  <dcterms:created xsi:type="dcterms:W3CDTF">2021-03-02T09:48:00Z</dcterms:created>
  <dcterms:modified xsi:type="dcterms:W3CDTF">2021-03-02T09:58:00Z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0x010100EA97B91038054C99906057A708A1480A00B2B329A7DAC4C144A75447C3256C027E</vt:lpwstr>
  </property>
  <property fmtid="{D5CDD505-2E9C-101B-9397-08002B2CF9AE}" pid="3" name="_dlc_DocIdItemGuid">
    <vt:lpwstr>00389b77-b580-4feb-ba14-d4b0eff13e3a</vt:lpwstr>
  </property>
  <property fmtid="{D5CDD505-2E9C-101B-9397-08002B2CF9AE}" pid="4"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5" name="DocumentType_0">
    <vt:lpwstr>AC|a4cc1d15-fb08-4679-ad46-e4e0cba5fe92</vt:lpwstr>
  </property>
  <property fmtid="{D5CDD505-2E9C-101B-9397-08002B2CF9AE}" pid="6" name="DossierName_0">
    <vt:lpwstr>ECO|8df351f5-c957-404c-8cf3-8ffb22c9cba2</vt:lpwstr>
  </property>
  <property fmtid="{D5CDD505-2E9C-101B-9397-08002B2CF9AE}" pid="7" name="DocumentSource_0">
    <vt:lpwstr>EESC|422833ec-8d7e-4e65-8e4e-8bed07ffb729</vt:lpwstr>
  </property>
  <property fmtid="{D5CDD505-2E9C-101B-9397-08002B2CF9AE}" pid="8" name="DocumentNumber">
    <vt:i4>4935</vt:i4>
  </property>
  <property fmtid="{D5CDD505-2E9C-101B-9397-08002B2CF9AE}" pid="9" name="FicheYear">
    <vt:i4>2020</vt:i4>
  </property>
  <property fmtid="{D5CDD505-2E9C-101B-9397-08002B2CF9AE}" pid="10" name="DocumentYear">
    <vt:i4>2020</vt:i4>
  </property>
  <property fmtid="{D5CDD505-2E9C-101B-9397-08002B2CF9AE}" pid="11" name="DocumentVersion">
    <vt:i4>0</vt:i4>
  </property>
  <property fmtid="{D5CDD505-2E9C-101B-9397-08002B2CF9AE}" pid="12" name="FicheNumber">
    <vt:i4>1570</vt:i4>
  </property>
  <property fmtid="{D5CDD505-2E9C-101B-9397-08002B2CF9AE}" pid="13" name="DossierNumber">
    <vt:i4>534</vt:i4>
  </property>
  <property fmtid="{D5CDD505-2E9C-101B-9397-08002B2CF9AE}" pid="14" name="DocumentStatus">
    <vt:lpwstr>2;#TRA|150d2a88-1431-44e6-a8ca-0bb753ab8672</vt:lpwstr>
  </property>
  <property fmtid="{D5CDD505-2E9C-101B-9397-08002B2CF9AE}" pid="15" name="DocumentPart">
    <vt:i4>0</vt:i4>
  </property>
  <property fmtid="{D5CDD505-2E9C-101B-9397-08002B2CF9AE}" pid="16" name="DossierName">
    <vt:lpwstr>80;#ECO|8df351f5-c957-404c-8cf3-8ffb22c9cba2</vt:lpwstr>
  </property>
  <property fmtid="{D5CDD505-2E9C-101B-9397-08002B2CF9AE}" pid="17" name="DocumentSource">
    <vt:lpwstr>1;#EESC|422833ec-8d7e-4e65-8e4e-8bed07ffb729</vt:lpwstr>
  </property>
  <property fmtid="{D5CDD505-2E9C-101B-9397-08002B2CF9AE}" pid="18" name="AdoptionDate">
    <vt:filetime>2021-02-24T12:00:00Z</vt:filetime>
  </property>
  <property fmtid="{D5CDD505-2E9C-101B-9397-08002B2CF9AE}" pid="19" name="DocumentType">
    <vt:lpwstr>70;#AC|a4cc1d15-fb08-4679-ad46-e4e0cba5fe92</vt:lpwstr>
  </property>
  <property fmtid="{D5CDD505-2E9C-101B-9397-08002B2CF9AE}" pid="20" name="RequestingService">
    <vt:lpwstr>Union économique et monétaire et cohésion économique et sociale</vt:lpwstr>
  </property>
  <property fmtid="{D5CDD505-2E9C-101B-9397-08002B2CF9AE}" pid="21" name="Confidentiality">
    <vt:lpwstr>5;#Unrestricted|826e22d7-d029-4ec0-a450-0c28ff673572</vt:lpwstr>
  </property>
  <property fmtid="{D5CDD505-2E9C-101B-9397-08002B2CF9AE}" pid="22" name="MeetingName_0">
    <vt:lpwstr/>
  </property>
  <property fmtid="{D5CDD505-2E9C-101B-9397-08002B2CF9AE}" pid="23" name="Confidentiality_0">
    <vt:lpwstr>Unrestricted|826e22d7-d029-4ec0-a450-0c28ff673572</vt:lpwstr>
  </property>
  <property fmtid="{D5CDD505-2E9C-101B-9397-08002B2CF9AE}" pid="24" name="OriginalLanguage">
    <vt:lpwstr>4;#EN|f2175f21-25d7-44a3-96da-d6a61b075e1b</vt:lpwstr>
  </property>
  <property fmtid="{D5CDD505-2E9C-101B-9397-08002B2CF9AE}" pid="25" name="MeetingName">
    <vt:lpwstr/>
  </property>
  <property fmtid="{D5CDD505-2E9C-101B-9397-08002B2CF9AE}" pid="27" name="AvailableTranslations_0">
    <vt:lpwstr>SK|46d9fce0-ef79-4f71-b89b-cd6aa82426b8;BG|1a1b3951-7821-4e6a-85f5-5673fc08bd2c;DA|5d49c027-8956-412b-aa16-e85a0f96ad0e;ET|ff6c3f4c-b02c-4c3c-ab07-2c37995a7a0a;EN|f2175f21-25d7-44a3-96da-d6a61b075e1b;DE|f6b31e5a-26fa-4935-b661-318e46daf27e;MT|7df99101-6854-4a26-b53a-b88c0da02c26;PL|1e03da61-4678-4e07-b136-b5024ca9197b;CS|72f9705b-0217-4fd3-bea2-cbc7ed80e26e;PT|50ccc04a-eadd-42ae-a0cb-acaf45f812ba;ES|e7a6b05b-ae16-40c8-add9-68b64b03aeba;NL|55c6556c-b4f4-441d-9acf-c498d4f838bd;LV|46f7e311-5d9f-4663-b433-18aeccb7ace7;FR|d2afafd3-4c81-4f60-8f52-ee33f2f54ff3</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36;#MT|7df99101-6854-4a26-b53a-b88c0da02c26;#70;#AC|a4cc1d15-fb08-4679-ad46-e4e0cba5fe92;#32;#DA|5d49c027-8956-412b-aa16-e85a0f96ad0e;#31;#CS|72f9705b-0217-4fd3-bea2-cbc7ed80e26e;#29;#PT|50ccc04a-eadd-42ae-a0cb-acaf45f812ba;#24;#LV|46f7e311-5d9f-4663-b433-18aeccb7ace7;#80;#ECO|8df351f5-c957-404c-8cf3-8ffb22c9cba2;#9;#PL|1e03da61-4678-4e07-b136-b5024ca9197b;#16;#ES|e7a6b05b-ae16-40c8-add9-68b64b03aeba;#10;#DE|f6b31e5a-26fa-4935-b661-318e46daf27e;#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1" name="Rapporteur">
    <vt:lpwstr>DANDEA &amp; FRANK VON FÜRSTENWERTH</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Language">
    <vt:lpwstr>34;#SL|98a412ae-eb01-49e9-ae3d-585a81724cfc</vt:lpwstr>
  </property>
</Properties>
</file>