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C84" w:rsidRPr="004130F7" w:rsidRDefault="00407455" w:rsidP="00C23E57">
      <w:pPr>
        <w:overflowPunct/>
        <w:adjustRightInd/>
        <w:jc w:val="center"/>
        <w:textAlignment w:val="auto"/>
      </w:pPr>
      <w:r>
        <w:rPr>
          <w:noProof/>
          <w:lang w:eastAsia="bg-BG" w:bidi="ar-SA"/>
        </w:rPr>
        <w:drawing>
          <wp:inline distT="0" distB="0" distL="0" distR="0">
            <wp:extent cx="1792605" cy="1241425"/>
            <wp:effectExtent l="0" t="0" r="0" b="0"/>
            <wp:docPr id="1" name="Picture 1" title="EESCLogo_BG"/>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8F61BC">
        <w:rPr>
          <w:noProof/>
          <w:sz w:val="20"/>
          <w:lang w:eastAsia="bg-BG" w:bidi="ar-SA"/>
        </w:rPr>
        <mc:AlternateContent>
          <mc:Choice Requires="wps">
            <w:drawing>
              <wp:anchor distT="0" distB="0" distL="114300" distR="114300" simplePos="0" relativeHeight="251659264" behindDoc="1" locked="0" layoutInCell="0" allowOverlap="1" wp14:anchorId="055C3EB4" wp14:editId="3EDE2E25">
                <wp:simplePos x="0" y="0"/>
                <wp:positionH relativeFrom="page">
                  <wp:posOffset>6769100</wp:posOffset>
                </wp:positionH>
                <wp:positionV relativeFrom="page">
                  <wp:posOffset>10081260</wp:posOffset>
                </wp:positionV>
                <wp:extent cx="647700" cy="396240"/>
                <wp:effectExtent l="0" t="3810" r="3175" b="0"/>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1BC" w:rsidRPr="00260E65" w:rsidRDefault="008F61BC">
                            <w:pPr>
                              <w:jc w:val="center"/>
                              <w:rPr>
                                <w:rFonts w:ascii="Arial" w:hAnsi="Arial" w:cs="Arial"/>
                                <w:b/>
                                <w:bCs/>
                                <w:sz w:val="48"/>
                              </w:rPr>
                            </w:pPr>
                            <w:r>
                              <w:rPr>
                                <w:rFonts w:ascii="Arial" w:hAnsi="Arial"/>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C3EB4" id="_x0000_t202" coordsize="21600,21600" o:spt="202" path="m,l,21600r21600,l21600,xe">
                <v:stroke joinstyle="miter"/>
                <v:path gradientshapeok="t" o:connecttype="rect"/>
              </v:shapetype>
              <v:shape id="Text Box 2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4wztg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9E+MM7YCAAC6&#10;BQAADgAAAAAAAAAAAAAAAAAuAgAAZHJzL2Uyb0RvYy54bWxQSwECLQAUAAYACAAAACEA61QxWt4A&#10;AAAPAQAADwAAAAAAAAAAAAAAAAAQBQAAZHJzL2Rvd25yZXYueG1sUEsFBgAAAAAEAAQA8wAAABsG&#10;AAAAAA==&#10;" o:allowincell="f" filled="f" stroked="f">
                <v:textbox>
                  <w:txbxContent>
                    <w:p w:rsidR="008F61BC" w:rsidRPr="00260E65" w:rsidRDefault="008F61BC">
                      <w:pPr>
                        <w:jc w:val="center"/>
                        <w:rPr>
                          <w:rFonts w:ascii="Arial" w:hAnsi="Arial" w:cs="Arial"/>
                          <w:b/>
                          <w:bCs/>
                          <w:sz w:val="48"/>
                        </w:rPr>
                      </w:pPr>
                      <w:r>
                        <w:rPr>
                          <w:rFonts w:ascii="Arial" w:hAnsi="Arial"/>
                          <w:b/>
                          <w:bCs/>
                          <w:sz w:val="48"/>
                        </w:rPr>
                        <w:t>BG</w:t>
                      </w:r>
                    </w:p>
                  </w:txbxContent>
                </v:textbox>
                <w10:wrap anchorx="page" anchory="page"/>
              </v:shape>
            </w:pict>
          </mc:Fallback>
        </mc:AlternateContent>
      </w:r>
    </w:p>
    <w:p w:rsidR="00646AC2" w:rsidRPr="004130F7" w:rsidRDefault="00646AC2" w:rsidP="00C23E57">
      <w:pPr>
        <w:overflowPunct/>
        <w:adjustRightInd/>
        <w:textAlignment w:val="auto"/>
      </w:pPr>
    </w:p>
    <w:p w:rsidR="006C46F7" w:rsidRPr="004130F7" w:rsidRDefault="006C46F7" w:rsidP="006C46F7">
      <w:pPr>
        <w:overflowPunct/>
        <w:adjustRightInd/>
        <w:jc w:val="right"/>
        <w:textAlignment w:val="auto"/>
      </w:pPr>
      <w:r>
        <w:rPr>
          <w:b/>
        </w:rPr>
        <w:t>ECO/535</w:t>
      </w:r>
    </w:p>
    <w:p w:rsidR="006C46F7" w:rsidRPr="004130F7" w:rsidRDefault="006C46F7" w:rsidP="006C46F7">
      <w:pPr>
        <w:overflowPunct/>
        <w:adjustRightInd/>
        <w:jc w:val="right"/>
        <w:textAlignment w:val="auto"/>
      </w:pPr>
      <w:r>
        <w:rPr>
          <w:b/>
        </w:rPr>
        <w:t>Криптовалутите и технологията на разпределения регистър</w:t>
      </w:r>
    </w:p>
    <w:p w:rsidR="009B30AA" w:rsidRPr="004130F7" w:rsidRDefault="009B30AA" w:rsidP="00C23E57">
      <w:pPr>
        <w:overflowPunct/>
        <w:adjustRightInd/>
        <w:textAlignment w:val="auto"/>
      </w:pPr>
    </w:p>
    <w:p w:rsidR="009B30AA" w:rsidRPr="004130F7" w:rsidRDefault="009B30AA" w:rsidP="00C23E57">
      <w:pPr>
        <w:overflowPunct/>
        <w:adjustRightInd/>
        <w:textAlignment w:val="auto"/>
      </w:pPr>
    </w:p>
    <w:p w:rsidR="006C46F7" w:rsidRPr="006C46F7" w:rsidRDefault="00076997" w:rsidP="00190CEE">
      <w:pPr>
        <w:overflowPunct/>
        <w:adjustRightInd/>
        <w:jc w:val="center"/>
        <w:textAlignment w:val="auto"/>
        <w:rPr>
          <w:b/>
        </w:rPr>
      </w:pPr>
      <w:r>
        <w:rPr>
          <w:b/>
          <w:bCs/>
          <w:sz w:val="28"/>
        </w:rPr>
        <w:t>СТАНОВИЩЕ</w:t>
      </w:r>
      <w:r>
        <w:br/>
      </w:r>
      <w:r>
        <w:br/>
        <w:t>Европейски икономически и социален комитет</w:t>
      </w:r>
      <w:r>
        <w:br/>
      </w:r>
      <w:r>
        <w:br/>
      </w:r>
      <w:r>
        <w:rPr>
          <w:b/>
          <w:bCs/>
        </w:rPr>
        <w:t>Предложение за Регламент на Европейския парламент и на Съвета относно пазарите на криптоактиви и за изменение на Директива (ЕС) 2019/1937</w:t>
      </w:r>
    </w:p>
    <w:p w:rsidR="00254D5E" w:rsidRDefault="006C46F7" w:rsidP="006C46F7">
      <w:pPr>
        <w:overflowPunct/>
        <w:adjustRightInd/>
        <w:jc w:val="center"/>
        <w:textAlignment w:val="auto"/>
      </w:pPr>
      <w:r>
        <w:t>[COM(2020) 593 final - 2020/0265 (COD)]</w:t>
      </w:r>
    </w:p>
    <w:p w:rsidR="006C46F7" w:rsidRPr="006C46F7" w:rsidRDefault="006C46F7" w:rsidP="006C46F7">
      <w:pPr>
        <w:overflowPunct/>
        <w:adjustRightInd/>
        <w:jc w:val="center"/>
        <w:textAlignment w:val="auto"/>
        <w:rPr>
          <w:b/>
        </w:rPr>
      </w:pPr>
    </w:p>
    <w:p w:rsidR="006C46F7" w:rsidRDefault="005A6175" w:rsidP="005A6175">
      <w:pPr>
        <w:overflowPunct/>
        <w:adjustRightInd/>
        <w:jc w:val="center"/>
        <w:textAlignment w:val="auto"/>
        <w:rPr>
          <w:b/>
        </w:rPr>
      </w:pPr>
      <w:r>
        <w:rPr>
          <w:b/>
        </w:rPr>
        <w:t>Предложение за Регламент на Европейския парламент и на Съвета относно пилотна уредба на пазарните инфраструктури, основани на технологията на децентрализирания регистър</w:t>
      </w:r>
    </w:p>
    <w:p w:rsidR="009B30AA" w:rsidRDefault="006C46F7" w:rsidP="00C23E57">
      <w:pPr>
        <w:overflowPunct/>
        <w:adjustRightInd/>
        <w:jc w:val="center"/>
        <w:textAlignment w:val="auto"/>
      </w:pPr>
      <w:r>
        <w:t>[COM(2020) 594 final - 2020/0267 (COD)]</w:t>
      </w:r>
    </w:p>
    <w:p w:rsidR="006C46F7" w:rsidRPr="004130F7" w:rsidRDefault="006C46F7" w:rsidP="00C23E57">
      <w:pPr>
        <w:overflowPunct/>
        <w:adjustRightInd/>
        <w:jc w:val="center"/>
        <w:textAlignment w:val="auto"/>
      </w:pPr>
    </w:p>
    <w:p w:rsidR="00704FBB" w:rsidRPr="004130F7" w:rsidRDefault="006C46F7" w:rsidP="00C23E57">
      <w:pPr>
        <w:overflowPunct/>
        <w:adjustRightInd/>
        <w:jc w:val="center"/>
        <w:textAlignment w:val="auto"/>
        <w:rPr>
          <w:b/>
        </w:rPr>
      </w:pPr>
      <w:r>
        <w:t xml:space="preserve">Докладчик: </w:t>
      </w:r>
      <w:r>
        <w:rPr>
          <w:b/>
        </w:rPr>
        <w:t>Giuseppe Guerini</w:t>
      </w:r>
    </w:p>
    <w:p w:rsidR="00E32DC6" w:rsidRPr="004130F7" w:rsidRDefault="00E32DC6" w:rsidP="00C23E57"/>
    <w:p w:rsidR="00E32DC6" w:rsidRPr="004130F7" w:rsidRDefault="00E32DC6" w:rsidP="00C23E57"/>
    <w:p w:rsidR="00E32DC6" w:rsidRPr="004130F7" w:rsidRDefault="00E32DC6" w:rsidP="00C23E57">
      <w:pPr>
        <w:sectPr w:rsidR="00E32DC6" w:rsidRPr="004130F7" w:rsidSect="00E64BDE">
          <w:footerReference w:type="default" r:id="rId12"/>
          <w:pgSz w:w="11907" w:h="16839" w:code="9"/>
          <w:pgMar w:top="1417" w:right="1417" w:bottom="1417" w:left="1417" w:header="709" w:footer="709" w:gutter="0"/>
          <w:pgNumType w:start="1"/>
          <w:cols w:space="720"/>
          <w:docGrid w:linePitch="299"/>
        </w:sectPr>
      </w:pPr>
    </w:p>
    <w:tbl>
      <w:tblPr>
        <w:tblW w:w="9077" w:type="dxa"/>
        <w:tblLook w:val="04A0" w:firstRow="1" w:lastRow="0" w:firstColumn="1" w:lastColumn="0" w:noHBand="0" w:noVBand="1"/>
      </w:tblPr>
      <w:tblGrid>
        <w:gridCol w:w="3477"/>
        <w:gridCol w:w="5600"/>
      </w:tblGrid>
      <w:tr w:rsidR="0011656A" w:rsidRPr="004130F7" w:rsidTr="007B6B96">
        <w:tc>
          <w:tcPr>
            <w:tcW w:w="3477" w:type="dxa"/>
          </w:tcPr>
          <w:p w:rsidR="0011656A" w:rsidRPr="004130F7" w:rsidRDefault="0090053A" w:rsidP="00C23E57">
            <w:pPr>
              <w:overflowPunct/>
              <w:adjustRightInd/>
              <w:jc w:val="left"/>
              <w:textAlignment w:val="auto"/>
            </w:pPr>
            <w:r>
              <w:lastRenderedPageBreak/>
              <w:t xml:space="preserve">Консултация </w:t>
            </w:r>
          </w:p>
        </w:tc>
        <w:tc>
          <w:tcPr>
            <w:tcW w:w="5600" w:type="dxa"/>
          </w:tcPr>
          <w:p w:rsidR="00CE655F" w:rsidRDefault="00CE4B36" w:rsidP="00C23E57">
            <w:pPr>
              <w:overflowPunct/>
              <w:adjustRightInd/>
              <w:jc w:val="left"/>
              <w:textAlignment w:val="auto"/>
            </w:pPr>
            <w:r>
              <w:t>Европейски парламент, 13.11.2020 г.</w:t>
            </w:r>
          </w:p>
          <w:p w:rsidR="00CE4B36" w:rsidRPr="004130F7" w:rsidRDefault="0026283D" w:rsidP="00C23E57">
            <w:pPr>
              <w:overflowPunct/>
              <w:adjustRightInd/>
              <w:jc w:val="left"/>
              <w:textAlignment w:val="auto"/>
            </w:pPr>
            <w:r>
              <w:t>Съвет на Европейския съюз, 18.11.2020 г.</w:t>
            </w:r>
          </w:p>
        </w:tc>
      </w:tr>
      <w:tr w:rsidR="0016503F" w:rsidRPr="004130F7" w:rsidTr="007B6B96">
        <w:trPr>
          <w:trHeight w:val="251"/>
        </w:trPr>
        <w:tc>
          <w:tcPr>
            <w:tcW w:w="3477" w:type="dxa"/>
          </w:tcPr>
          <w:p w:rsidR="0016503F" w:rsidRPr="004130F7" w:rsidRDefault="0016503F" w:rsidP="00C23E57">
            <w:pPr>
              <w:overflowPunct/>
              <w:adjustRightInd/>
              <w:jc w:val="left"/>
              <w:textAlignment w:val="auto"/>
              <w:rPr>
                <w:szCs w:val="22"/>
              </w:rPr>
            </w:pPr>
            <w:r>
              <w:t>Правно основание</w:t>
            </w:r>
          </w:p>
        </w:tc>
        <w:tc>
          <w:tcPr>
            <w:tcW w:w="5600" w:type="dxa"/>
          </w:tcPr>
          <w:p w:rsidR="0016503F" w:rsidRPr="004130F7" w:rsidRDefault="00ED796E" w:rsidP="00ED796E">
            <w:pPr>
              <w:overflowPunct/>
              <w:adjustRightInd/>
              <w:jc w:val="left"/>
              <w:textAlignment w:val="auto"/>
              <w:rPr>
                <w:szCs w:val="22"/>
              </w:rPr>
            </w:pPr>
            <w:r>
              <w:t>член 114 и член 304 от Договора за функционирането на Европейския съюз</w:t>
            </w:r>
          </w:p>
        </w:tc>
      </w:tr>
      <w:tr w:rsidR="0016503F" w:rsidRPr="004130F7" w:rsidTr="007B6B96">
        <w:trPr>
          <w:trHeight w:val="250"/>
        </w:trPr>
        <w:tc>
          <w:tcPr>
            <w:tcW w:w="3477" w:type="dxa"/>
          </w:tcPr>
          <w:p w:rsidR="0016503F" w:rsidRPr="004130F7" w:rsidRDefault="0016503F" w:rsidP="00C23E57">
            <w:pPr>
              <w:overflowPunct/>
              <w:adjustRightInd/>
              <w:jc w:val="left"/>
              <w:textAlignment w:val="auto"/>
              <w:rPr>
                <w:szCs w:val="22"/>
              </w:rPr>
            </w:pPr>
          </w:p>
        </w:tc>
        <w:tc>
          <w:tcPr>
            <w:tcW w:w="5600" w:type="dxa"/>
          </w:tcPr>
          <w:p w:rsidR="0016503F" w:rsidRPr="004130F7" w:rsidRDefault="0016503F" w:rsidP="00C23E57">
            <w:pPr>
              <w:overflowPunct/>
              <w:adjustRightInd/>
              <w:jc w:val="left"/>
              <w:textAlignment w:val="auto"/>
              <w:rPr>
                <w:szCs w:val="22"/>
              </w:rPr>
            </w:pPr>
          </w:p>
        </w:tc>
      </w:tr>
      <w:tr w:rsidR="00DF5B64" w:rsidRPr="004130F7" w:rsidTr="007B6B96">
        <w:tc>
          <w:tcPr>
            <w:tcW w:w="3477" w:type="dxa"/>
          </w:tcPr>
          <w:p w:rsidR="00DF5B64" w:rsidRPr="004130F7" w:rsidRDefault="00AD4B4F" w:rsidP="00C23E57">
            <w:pPr>
              <w:overflowPunct/>
              <w:adjustRightInd/>
              <w:jc w:val="left"/>
              <w:textAlignment w:val="auto"/>
              <w:rPr>
                <w:szCs w:val="22"/>
              </w:rPr>
            </w:pPr>
            <w:r>
              <w:t>Компетентна секция</w:t>
            </w:r>
          </w:p>
        </w:tc>
        <w:tc>
          <w:tcPr>
            <w:tcW w:w="5600" w:type="dxa"/>
          </w:tcPr>
          <w:p w:rsidR="00CE4B36" w:rsidRPr="009D27A9" w:rsidRDefault="00CE4B36" w:rsidP="00C23E57">
            <w:pPr>
              <w:overflowPunct/>
              <w:adjustRightInd/>
              <w:jc w:val="left"/>
              <w:textAlignment w:val="auto"/>
            </w:pPr>
            <w:r>
              <w:t>Икономически и паричен съюз, икономическо и социално сближаване</w:t>
            </w:r>
          </w:p>
        </w:tc>
      </w:tr>
      <w:tr w:rsidR="00A156E6" w:rsidRPr="004130F7" w:rsidTr="007B6B96">
        <w:tc>
          <w:tcPr>
            <w:tcW w:w="3477" w:type="dxa"/>
          </w:tcPr>
          <w:p w:rsidR="00A156E6" w:rsidRPr="004130F7" w:rsidRDefault="00A156E6" w:rsidP="00C23E57">
            <w:pPr>
              <w:overflowPunct/>
              <w:adjustRightInd/>
              <w:jc w:val="left"/>
              <w:textAlignment w:val="auto"/>
              <w:rPr>
                <w:szCs w:val="22"/>
              </w:rPr>
            </w:pPr>
            <w:r>
              <w:t>Приемане от секция</w:t>
            </w:r>
          </w:p>
        </w:tc>
        <w:tc>
          <w:tcPr>
            <w:tcW w:w="5600" w:type="dxa"/>
          </w:tcPr>
          <w:p w:rsidR="00A156E6" w:rsidRPr="004130F7" w:rsidRDefault="00BF4454" w:rsidP="00C23E57">
            <w:pPr>
              <w:overflowPunct/>
              <w:adjustRightInd/>
              <w:jc w:val="left"/>
              <w:textAlignment w:val="auto"/>
              <w:rPr>
                <w:szCs w:val="22"/>
              </w:rPr>
            </w:pPr>
            <w:r>
              <w:t>12.2.2021 г.</w:t>
            </w:r>
          </w:p>
        </w:tc>
      </w:tr>
      <w:tr w:rsidR="00A156E6" w:rsidRPr="004130F7" w:rsidTr="007B6B96">
        <w:tc>
          <w:tcPr>
            <w:tcW w:w="3477" w:type="dxa"/>
          </w:tcPr>
          <w:p w:rsidR="00A156E6" w:rsidRPr="004130F7" w:rsidRDefault="00A156E6" w:rsidP="00C23E57">
            <w:pPr>
              <w:overflowPunct/>
              <w:adjustRightInd/>
              <w:jc w:val="left"/>
              <w:textAlignment w:val="auto"/>
              <w:rPr>
                <w:szCs w:val="22"/>
              </w:rPr>
            </w:pPr>
            <w:r>
              <w:t>Приемане на пленарна сесия</w:t>
            </w:r>
          </w:p>
        </w:tc>
        <w:tc>
          <w:tcPr>
            <w:tcW w:w="5600" w:type="dxa"/>
          </w:tcPr>
          <w:p w:rsidR="00A156E6" w:rsidRPr="004130F7" w:rsidRDefault="0097046F" w:rsidP="00C23E57">
            <w:pPr>
              <w:overflowPunct/>
              <w:adjustRightInd/>
              <w:jc w:val="left"/>
              <w:textAlignment w:val="auto"/>
              <w:rPr>
                <w:szCs w:val="22"/>
              </w:rPr>
            </w:pPr>
            <w:r>
              <w:t>24.2.2021 г.</w:t>
            </w:r>
          </w:p>
        </w:tc>
      </w:tr>
      <w:tr w:rsidR="00BA1290" w:rsidRPr="004130F7" w:rsidTr="007B6B96">
        <w:tc>
          <w:tcPr>
            <w:tcW w:w="3477" w:type="dxa"/>
          </w:tcPr>
          <w:p w:rsidR="00BA1290" w:rsidRPr="004130F7" w:rsidRDefault="00BA1290" w:rsidP="00C23E57">
            <w:pPr>
              <w:overflowPunct/>
              <w:adjustRightInd/>
              <w:jc w:val="left"/>
              <w:textAlignment w:val="auto"/>
              <w:rPr>
                <w:szCs w:val="22"/>
              </w:rPr>
            </w:pPr>
            <w:r>
              <w:t>Пленарна сесия №</w:t>
            </w:r>
          </w:p>
        </w:tc>
        <w:tc>
          <w:tcPr>
            <w:tcW w:w="5600" w:type="dxa"/>
          </w:tcPr>
          <w:p w:rsidR="00BA1290" w:rsidRPr="004130F7" w:rsidRDefault="0097046F" w:rsidP="00C23E57">
            <w:pPr>
              <w:overflowPunct/>
              <w:adjustRightInd/>
              <w:jc w:val="left"/>
              <w:textAlignment w:val="auto"/>
              <w:rPr>
                <w:szCs w:val="22"/>
              </w:rPr>
            </w:pPr>
            <w:r>
              <w:t>558</w:t>
            </w:r>
          </w:p>
        </w:tc>
      </w:tr>
      <w:tr w:rsidR="00A156E6" w:rsidRPr="004130F7" w:rsidTr="007B6B96">
        <w:tc>
          <w:tcPr>
            <w:tcW w:w="3477" w:type="dxa"/>
          </w:tcPr>
          <w:p w:rsidR="00D423D4" w:rsidRPr="004130F7" w:rsidRDefault="0043024C" w:rsidP="00C23E57">
            <w:pPr>
              <w:overflowPunct/>
              <w:adjustRightInd/>
              <w:jc w:val="left"/>
            </w:pPr>
            <w:r>
              <w:t>Резултат от гласуването</w:t>
            </w:r>
            <w:r>
              <w:cr/>
            </w:r>
            <w:r>
              <w:br/>
              <w:t>(„за“/„против“/„въздържал се“)</w:t>
            </w:r>
          </w:p>
        </w:tc>
        <w:tc>
          <w:tcPr>
            <w:tcW w:w="5600" w:type="dxa"/>
            <w:vAlign w:val="bottom"/>
          </w:tcPr>
          <w:p w:rsidR="00A156E6" w:rsidRPr="004130F7" w:rsidRDefault="0097046F" w:rsidP="00C23E57">
            <w:pPr>
              <w:overflowPunct/>
              <w:adjustRightInd/>
              <w:jc w:val="left"/>
              <w:textAlignment w:val="auto"/>
              <w:rPr>
                <w:szCs w:val="22"/>
              </w:rPr>
            </w:pPr>
            <w:r>
              <w:t>235/1/8</w:t>
            </w:r>
          </w:p>
        </w:tc>
      </w:tr>
    </w:tbl>
    <w:p w:rsidR="0090053A" w:rsidRPr="004130F7" w:rsidRDefault="0090053A" w:rsidP="00C23E57">
      <w:pPr>
        <w:overflowPunct/>
        <w:adjustRightInd/>
        <w:textAlignment w:val="auto"/>
      </w:pPr>
    </w:p>
    <w:p w:rsidR="00646AC2" w:rsidRPr="004130F7" w:rsidRDefault="00646AC2" w:rsidP="00C23E57">
      <w:pPr>
        <w:overflowPunct/>
        <w:adjustRightInd/>
        <w:textAlignment w:val="auto"/>
      </w:pPr>
      <w:r>
        <w:br w:type="page"/>
      </w:r>
    </w:p>
    <w:p w:rsidR="00011D33" w:rsidRPr="004130F7" w:rsidRDefault="00011D33" w:rsidP="00C23E57">
      <w:pPr>
        <w:pStyle w:val="Heading1"/>
        <w:keepNext/>
        <w:ind w:left="567" w:hanging="567"/>
        <w:rPr>
          <w:b/>
        </w:rPr>
      </w:pPr>
      <w:r>
        <w:rPr>
          <w:b/>
        </w:rPr>
        <w:t>Заключения и препоръки</w:t>
      </w:r>
    </w:p>
    <w:p w:rsidR="00011D33" w:rsidRPr="004130F7" w:rsidRDefault="00011D33" w:rsidP="00C23E57">
      <w:pPr>
        <w:keepNext/>
      </w:pPr>
    </w:p>
    <w:p w:rsidR="00D153B6" w:rsidRDefault="00C30CD5" w:rsidP="00D153B6">
      <w:pPr>
        <w:pStyle w:val="Heading2"/>
        <w:ind w:left="567" w:hanging="567"/>
        <w:rPr>
          <w:rFonts w:ascii="TimesNewRoman" w:hAnsi="TimesNewRoman"/>
          <w:color w:val="000000"/>
          <w:szCs w:val="22"/>
          <w:bdr w:val="none" w:sz="0" w:space="0" w:color="auto" w:frame="1"/>
        </w:rPr>
      </w:pPr>
      <w:r>
        <w:rPr>
          <w:rFonts w:ascii="TimesNewRoman" w:hAnsi="TimesNewRoman"/>
          <w:color w:val="000000"/>
          <w:szCs w:val="22"/>
          <w:bdr w:val="none" w:sz="0" w:space="0" w:color="auto" w:frame="1"/>
        </w:rPr>
        <w:t>ЕИСК подкрепя двете инициативи на Европейската комисия във връзка с предложение за Регламент относно пазарите на криптоактиви и за изменение на Директива (ЕС) 2019/1937, от една страна, и във връзка с предложение за Регламент относно пилотна уредба на пазарните инфраструктури, основани на технологията на разпределения регистър -ТРР (използваният термин в COM(2020) 594 final е „децентрализиран регистър, съответно ТДР“ - бел.прев.), от друга страна.</w:t>
      </w:r>
    </w:p>
    <w:p w:rsidR="00D153B6" w:rsidRPr="00D153B6" w:rsidRDefault="00D153B6" w:rsidP="00FF4D3D"/>
    <w:p w:rsidR="00D153B6" w:rsidRDefault="00C30CD5" w:rsidP="00D153B6">
      <w:pPr>
        <w:pStyle w:val="Heading2"/>
        <w:ind w:left="567" w:hanging="567"/>
      </w:pPr>
      <w:r>
        <w:t>Комитетът счита, че намесата на Комисията е необходима и неотложна, за да се предостави всеобхватно законодателство по отношение на технологично явление, което е все-по-широко разпространено и по-често използвано на практика, а освен това непрекъснато се развива и бързо се променя.</w:t>
      </w:r>
    </w:p>
    <w:p w:rsidR="00D153B6" w:rsidRPr="00D153B6" w:rsidRDefault="00D153B6" w:rsidP="00FF4D3D"/>
    <w:p w:rsidR="00D153B6" w:rsidRDefault="00D153B6" w:rsidP="00D153B6">
      <w:pPr>
        <w:pStyle w:val="Heading2"/>
        <w:ind w:left="567" w:hanging="567"/>
      </w:pPr>
      <w:r>
        <w:t>Ето защо ЕИСК счита, че е полезно в кратки срокове да бъдат приложени предвидените от Комисията различни мерки за привеждане в съответствие на законодателството, необходими за модернизиране на финансовите услуги, без да се забравят защитата на потребителя и пруденциалните правила.</w:t>
      </w:r>
    </w:p>
    <w:p w:rsidR="00D153B6" w:rsidRPr="00D153B6" w:rsidRDefault="00D153B6" w:rsidP="00FF4D3D"/>
    <w:p w:rsidR="00D153B6" w:rsidRPr="00D153B6" w:rsidRDefault="00C30CD5" w:rsidP="00FF4D3D">
      <w:pPr>
        <w:pStyle w:val="Heading2"/>
        <w:ind w:left="567" w:hanging="567"/>
        <w:rPr>
          <w:szCs w:val="22"/>
        </w:rPr>
      </w:pPr>
      <w:r>
        <w:t>Неотложната необходимост от действията на ЕС произтича от факта, че през последните месеци различни държави членки приеха национални регулаторни инструменти, както със законодателни действия, така и с препоръки и насоки, издадени от секторните регулаторни органи. Съществува опасност тези действия да създадат фрагментирана нормативна рамка, с риск да се навреди на консолидирането на вътрешния пазар и да се повишат разходите на предприятията, свързани със спазване на изискванията.</w:t>
      </w:r>
    </w:p>
    <w:p w:rsidR="00D153B6" w:rsidRPr="00D153B6" w:rsidRDefault="00D153B6" w:rsidP="00FF4D3D"/>
    <w:p w:rsidR="00D153B6" w:rsidRDefault="00D153B6" w:rsidP="00D153B6">
      <w:pPr>
        <w:pStyle w:val="Heading2"/>
        <w:ind w:left="567" w:hanging="567"/>
        <w:rPr>
          <w:szCs w:val="22"/>
        </w:rPr>
      </w:pPr>
      <w:r>
        <w:t>Ето защо ЕИСК подкрепя преследваните от Комисията цели в рамките на единна регулаторна уредба, състоящи се в i) защита на крайните потребители на цифровите финансови услуги; ii) запазване на финансовата стабилност; iii) защита на целостта на финансовия сектор на ЕС; iv) гарантиране на равни условия за различните оператори от икономическата и финансовата система.</w:t>
      </w:r>
    </w:p>
    <w:p w:rsidR="00D153B6" w:rsidRDefault="00D153B6" w:rsidP="00D153B6">
      <w:pPr>
        <w:pStyle w:val="Heading2"/>
        <w:numPr>
          <w:ilvl w:val="0"/>
          <w:numId w:val="0"/>
        </w:numPr>
        <w:ind w:left="567"/>
        <w:rPr>
          <w:szCs w:val="22"/>
        </w:rPr>
      </w:pPr>
    </w:p>
    <w:p w:rsidR="00254D5E" w:rsidRDefault="00D153B6" w:rsidP="00FF4D3D">
      <w:pPr>
        <w:pStyle w:val="Heading2"/>
        <w:ind w:left="567" w:hanging="567"/>
      </w:pPr>
      <w:r>
        <w:t>Комитетът подкрепя също така целта да се гарантира, че емитентите на световни „стабилни криптопари“ (stablecoins) подлежат на по-строги изисквания по отношение на капитал, права на инвеститорите и надзор, предвид възможната системна значимост на тези инструменти.</w:t>
      </w:r>
    </w:p>
    <w:p w:rsidR="00D153B6" w:rsidRPr="00D153B6" w:rsidRDefault="00D153B6" w:rsidP="00D153B6"/>
    <w:p w:rsidR="00D153B6" w:rsidRPr="00D153B6" w:rsidRDefault="00D153B6" w:rsidP="00D153B6">
      <w:pPr>
        <w:pStyle w:val="Heading2"/>
        <w:ind w:left="567" w:hanging="567"/>
        <w:rPr>
          <w:szCs w:val="22"/>
        </w:rPr>
      </w:pPr>
      <w:r>
        <w:t>ЕИСК очаква конкретни действия за насърчаване на подходящо информиране и осведоменост на потребителите и дребните инвеститори, за да се намали информационната асиметрия, която може да затрудни в значителна степен тези субекти по отношение на темите на настоящото становище, които са нови и със сложно техническо съдържание.</w:t>
      </w:r>
    </w:p>
    <w:p w:rsidR="00D153B6" w:rsidRDefault="00D153B6" w:rsidP="00D153B6">
      <w:pPr>
        <w:pStyle w:val="Heading2"/>
        <w:numPr>
          <w:ilvl w:val="0"/>
          <w:numId w:val="0"/>
        </w:numPr>
        <w:ind w:left="567"/>
        <w:rPr>
          <w:szCs w:val="22"/>
        </w:rPr>
      </w:pPr>
    </w:p>
    <w:p w:rsidR="00254D5E" w:rsidRDefault="00C30CD5" w:rsidP="00DD5B10">
      <w:pPr>
        <w:pStyle w:val="Heading2"/>
        <w:keepLines/>
        <w:ind w:left="567" w:hanging="567"/>
      </w:pPr>
      <w:r>
        <w:t>Комитетът препоръчва да се обърне особено внимание на проверките, предхождащи разпоредбите за разрешаване на дейност, които са включени в предложенията, предмет на настоящото становище, най-вече по отношение на надеждността на операторите, за които се изисква разрешение, за да се избегнат неблагоприятните последици от опортюнистично и вредящо поведение.</w:t>
      </w:r>
    </w:p>
    <w:p w:rsidR="00D153B6" w:rsidRDefault="00D153B6" w:rsidP="00D153B6">
      <w:pPr>
        <w:pStyle w:val="Heading2"/>
        <w:numPr>
          <w:ilvl w:val="0"/>
          <w:numId w:val="0"/>
        </w:numPr>
        <w:ind w:left="567"/>
        <w:rPr>
          <w:szCs w:val="22"/>
        </w:rPr>
      </w:pPr>
    </w:p>
    <w:p w:rsidR="00254D5E" w:rsidRDefault="001B4A5D" w:rsidP="00D153B6">
      <w:pPr>
        <w:pStyle w:val="Heading2"/>
        <w:ind w:left="567" w:hanging="567"/>
      </w:pPr>
      <w:r>
        <w:t>Тъй като все още не съществува такова равнище на стандартизация и оперативна съвместимост на ТРР, което да насочва по сигурен начин при оценката на степента на технологична надеждност и киберустойчивост на приетите от операторите инфраструктури, ЕИСК препоръчва да се изясни, доколкото е възможно, регулаторният режим за прилагане на тези инструменти, които непрекъснато се развиват, тъй като евентуалната промяна на техния характер може да изисква прилагането на различни законодателни разпоредби.</w:t>
      </w:r>
    </w:p>
    <w:p w:rsidR="00A41356" w:rsidRPr="00D26714" w:rsidRDefault="00A41356" w:rsidP="00A41356"/>
    <w:p w:rsidR="00AD136E" w:rsidRPr="00AD136E" w:rsidRDefault="00D153B6" w:rsidP="00AD136E">
      <w:pPr>
        <w:pStyle w:val="Heading2"/>
        <w:ind w:left="567" w:hanging="567"/>
        <w:rPr>
          <w:szCs w:val="22"/>
        </w:rPr>
      </w:pPr>
      <w:r>
        <w:t>Като се имат предвид все още срещаните технологични рискове, ЕИСК гледа с доверие на предложението за пилотна уредба на пазарните инфраструктури, основани на технологията на децентрализирания регистър. Чрез пилотната уредба всъщност се открива пространство за експериментиране в контролирана среда, позволяващо временни дерогации от действащите правила, като се дава възможност на регулаторните органи и операторите постепенно да придобият опит в използването на технологията на децентрализирания регистър в пазарните инфраструктури, с цел защита на целостта на самия пазар и на финансовата стабилност.</w:t>
      </w:r>
    </w:p>
    <w:p w:rsidR="00AD136E" w:rsidRDefault="00AD136E" w:rsidP="00AD136E">
      <w:pPr>
        <w:rPr>
          <w:szCs w:val="22"/>
        </w:rPr>
      </w:pPr>
    </w:p>
    <w:p w:rsidR="00254D5E" w:rsidRDefault="00AD136E" w:rsidP="00AD136E">
      <w:pPr>
        <w:pStyle w:val="Heading2"/>
        <w:ind w:left="567" w:hanging="567"/>
      </w:pPr>
      <w:r>
        <w:t>Все пак, въпреки че пилотната уредба е съществена, ЕИСК счита, че 5-годишният срок за доклада на ЕОЦКП е твърде дълъг по отношение на скоростта, с която се развива технологията на цифровите финансови услуги. Освен това се посочва, че е полезно да се обърне внимание на начините на излизане от експерименталната пилотната уредба, за да се гарантира защита на потребителите, които участват в тази фаза.</w:t>
      </w:r>
    </w:p>
    <w:p w:rsidR="00AD136E" w:rsidRDefault="00AD136E" w:rsidP="00AD136E"/>
    <w:p w:rsidR="00254D5E" w:rsidRDefault="00AD136E" w:rsidP="00AD136E">
      <w:pPr>
        <w:pStyle w:val="Heading2"/>
        <w:ind w:left="567" w:hanging="567"/>
      </w:pPr>
      <w:r>
        <w:t>И накрая, по отношение на прилагането на Регламента относно пазарите на криптоактиви (ПКА) ЕИСК изразява сериозна загриженост относно „преходния режим“, който предвижда постоянно освобождаване от спазване на разпоредбите на регламента относно ПКА, вече налични на пазара преди влизането в сила на регламента. В действителност има риск това да доведе до някакъв вид регулаторно освобождаване като дерогация от принципа „еднакъв риск, еднаква дейност, еднакво третиране“ за вече емитираните криптоактиви.</w:t>
      </w:r>
    </w:p>
    <w:p w:rsidR="00011D33" w:rsidRDefault="00011D33" w:rsidP="00212ACA">
      <w:pPr>
        <w:pStyle w:val="Heading2"/>
        <w:keepNext/>
        <w:keepLines/>
        <w:numPr>
          <w:ilvl w:val="0"/>
          <w:numId w:val="0"/>
        </w:numPr>
        <w:ind w:left="567"/>
        <w:rPr>
          <w:szCs w:val="22"/>
        </w:rPr>
      </w:pPr>
    </w:p>
    <w:p w:rsidR="00011D33" w:rsidRPr="004130F7" w:rsidRDefault="00CE4B36" w:rsidP="00CF5A36">
      <w:pPr>
        <w:pStyle w:val="Heading1"/>
        <w:keepNext/>
        <w:keepLines/>
        <w:ind w:left="567" w:hanging="567"/>
        <w:rPr>
          <w:b/>
        </w:rPr>
      </w:pPr>
      <w:r>
        <w:rPr>
          <w:b/>
        </w:rPr>
        <w:t>Предложения на Комисията</w:t>
      </w:r>
    </w:p>
    <w:p w:rsidR="00CE4B36" w:rsidRDefault="00CE4B36" w:rsidP="00CF5A36">
      <w:pPr>
        <w:keepNext/>
        <w:keepLines/>
        <w:rPr>
          <w:rFonts w:ascii="TimesNewRoman" w:hAnsi="TimesNewRoman"/>
          <w:color w:val="000000"/>
          <w:szCs w:val="22"/>
          <w:bdr w:val="none" w:sz="0" w:space="0" w:color="auto" w:frame="1"/>
        </w:rPr>
      </w:pPr>
    </w:p>
    <w:p w:rsidR="005709F1" w:rsidRPr="004F5965" w:rsidRDefault="005709F1" w:rsidP="00C959CB">
      <w:pPr>
        <w:pStyle w:val="Heading2"/>
        <w:ind w:left="567" w:hanging="567"/>
      </w:pPr>
      <w:r>
        <w:t>Настоящото становище се отнася до две инициат</w:t>
      </w:r>
      <w:r w:rsidR="00DD5B10">
        <w:t>иви на Европейската комисия: i) </w:t>
      </w:r>
      <w:r>
        <w:t>Предложение за Регламент относно пазарите на криптоактиви и за изменение на Директива (ЕС) 2019/1937; ii) Предложение за Регламент относно пилотна уредба на пазарните инфраструктури, основани на технологията на децентрализирания регистър (ТДР). Тези предложения се вписват в пакета от действия на Комисията, който включва Съобщението относно стратегия за цифровизиране на финансовите услуги и Предложение за Регламент относно оперативната устойчивост на цифровите технологии, предмет на становища на ЕИСК „Стратегия за цифровизиране на финансовите услуги в ЕС“</w:t>
      </w:r>
      <w:r w:rsidR="00533CB4" w:rsidRPr="004F5965">
        <w:rPr>
          <w:rStyle w:val="FootnoteReference"/>
        </w:rPr>
        <w:footnoteReference w:id="2"/>
      </w:r>
      <w:r>
        <w:t xml:space="preserve"> и „Цифрова оперативна устойчивост“</w:t>
      </w:r>
      <w:r w:rsidR="00584A33" w:rsidRPr="004F5965">
        <w:rPr>
          <w:rStyle w:val="FootnoteReference"/>
        </w:rPr>
        <w:footnoteReference w:id="3"/>
      </w:r>
      <w:r>
        <w:t>.</w:t>
      </w:r>
    </w:p>
    <w:p w:rsidR="005B20AB" w:rsidRDefault="005B20AB" w:rsidP="00AD136E">
      <w:pPr>
        <w:pStyle w:val="Heading2"/>
        <w:numPr>
          <w:ilvl w:val="0"/>
          <w:numId w:val="0"/>
        </w:numPr>
        <w:rPr>
          <w:u w:val="single"/>
        </w:rPr>
      </w:pPr>
    </w:p>
    <w:p w:rsidR="00AD136E" w:rsidRPr="007B6B96" w:rsidRDefault="00AD136E" w:rsidP="005B20AB">
      <w:pPr>
        <w:pStyle w:val="Heading2"/>
        <w:ind w:left="567" w:hanging="567"/>
      </w:pPr>
      <w:r>
        <w:t xml:space="preserve">Предложение за Регламент относно пазарите на криптоактиви (изменение на </w:t>
      </w:r>
      <w:r w:rsidR="00DD5B10">
        <w:t>Директива </w:t>
      </w:r>
      <w:r>
        <w:t>(ЕС) 2019/1937)</w:t>
      </w:r>
    </w:p>
    <w:p w:rsidR="00AD136E" w:rsidRDefault="00AD136E" w:rsidP="00AD136E">
      <w:pPr>
        <w:pStyle w:val="Heading2"/>
        <w:numPr>
          <w:ilvl w:val="0"/>
          <w:numId w:val="0"/>
        </w:numPr>
        <w:rPr>
          <w:u w:val="single"/>
        </w:rPr>
      </w:pPr>
    </w:p>
    <w:p w:rsidR="00CE4B36" w:rsidRDefault="00D632F6" w:rsidP="00212ACA">
      <w:pPr>
        <w:pStyle w:val="Heading3"/>
        <w:ind w:left="567" w:hanging="567"/>
        <w:rPr>
          <w:bdr w:val="none" w:sz="0" w:space="0" w:color="auto" w:frame="1"/>
        </w:rPr>
      </w:pPr>
      <w:r>
        <w:t>С ПКА се цели да се гарантира правната сигурност за криптоактивите, които не са обхванати от действащото законодателство на ЕС, и да се създадат еднакви правила за емитентите на криптоактиви и за доставчиците на свързаните с тях услуги (доставчици на услуги за виртуални активи).</w:t>
      </w:r>
      <w:r>
        <w:rPr>
          <w:bdr w:val="none" w:sz="0" w:space="0" w:color="auto" w:frame="1"/>
        </w:rPr>
        <w:t xml:space="preserve"> С регламента се цели да се заменят съществуващите национални рамки, които понастоящем не попадат в обхвата на действащото европейско законодателство, като по този начин се гарантира желаната равнопоставеност.</w:t>
      </w:r>
    </w:p>
    <w:p w:rsidR="005B20AB" w:rsidRDefault="005B20AB" w:rsidP="005B20AB"/>
    <w:p w:rsidR="00CE4B36" w:rsidRDefault="00CE4B36" w:rsidP="00212ACA">
      <w:pPr>
        <w:pStyle w:val="Heading3"/>
        <w:keepNext/>
        <w:keepLines/>
        <w:ind w:left="567" w:hanging="567"/>
      </w:pPr>
      <w:r>
        <w:t>Въз основа на своето предложение Комисията подчерта необходимостта от приемане на „общ подход с държавите членки относно криптовалутите, за да гарантираме, че знаем как да използваме максимално възможностите, които предлагат, и да преодолеем новите рискове, които могат да създадат“.</w:t>
      </w:r>
    </w:p>
    <w:p w:rsidR="005B20AB" w:rsidRDefault="005B20AB" w:rsidP="0065630D">
      <w:pPr>
        <w:pStyle w:val="Heading1"/>
        <w:numPr>
          <w:ilvl w:val="0"/>
          <w:numId w:val="0"/>
        </w:numPr>
        <w:rPr>
          <w:rFonts w:ascii="TimesNewRoman" w:hAnsi="TimesNewRoman"/>
          <w:color w:val="000000"/>
          <w:szCs w:val="22"/>
          <w:bdr w:val="none" w:sz="0" w:space="0" w:color="auto" w:frame="1"/>
        </w:rPr>
      </w:pPr>
    </w:p>
    <w:p w:rsidR="005B20AB" w:rsidRPr="005B20AB" w:rsidRDefault="005B20AB" w:rsidP="0065630D">
      <w:pPr>
        <w:pStyle w:val="Heading3"/>
        <w:ind w:left="567" w:hanging="567"/>
      </w:pPr>
      <w:r>
        <w:rPr>
          <w:bdr w:val="none" w:sz="0" w:space="0" w:color="auto" w:frame="1"/>
        </w:rPr>
        <w:t>Предложението преследва четири цели: i) обезпеча</w:t>
      </w:r>
      <w:r w:rsidR="00DD5B10">
        <w:rPr>
          <w:bdr w:val="none" w:sz="0" w:space="0" w:color="auto" w:frame="1"/>
        </w:rPr>
        <w:t>ване на правната сигурност; ii) </w:t>
      </w:r>
      <w:r>
        <w:rPr>
          <w:bdr w:val="none" w:sz="0" w:space="0" w:color="auto" w:frame="1"/>
        </w:rPr>
        <w:t xml:space="preserve">подпомагане на иновациите в сектор с голям потенциал; iii) гарантиране на подходящи равнища на защита на потребителите и инвеститорите, както </w:t>
      </w:r>
      <w:r w:rsidR="00DD5B10">
        <w:rPr>
          <w:bdr w:val="none" w:sz="0" w:space="0" w:color="auto" w:frame="1"/>
        </w:rPr>
        <w:t>и на цялост на пазара; iv) </w:t>
      </w:r>
      <w:r>
        <w:rPr>
          <w:bdr w:val="none" w:sz="0" w:space="0" w:color="auto" w:frame="1"/>
        </w:rPr>
        <w:t>гарантиране на финансовата стабилност.</w:t>
      </w:r>
    </w:p>
    <w:p w:rsidR="00CE4B36" w:rsidRDefault="00CE4B36" w:rsidP="00A818FD">
      <w:pPr>
        <w:pStyle w:val="Heading1"/>
        <w:numPr>
          <w:ilvl w:val="0"/>
          <w:numId w:val="0"/>
        </w:numPr>
        <w:rPr>
          <w:rFonts w:ascii="TimesNewRoman" w:hAnsi="TimesNewRoman"/>
          <w:color w:val="000000"/>
          <w:szCs w:val="22"/>
          <w:bdr w:val="none" w:sz="0" w:space="0" w:color="auto" w:frame="1"/>
        </w:rPr>
      </w:pPr>
    </w:p>
    <w:p w:rsidR="00D632F6" w:rsidRDefault="00D632F6">
      <w:pPr>
        <w:pStyle w:val="Heading3"/>
        <w:ind w:left="567" w:hanging="567"/>
        <w:rPr>
          <w:bdr w:val="none" w:sz="0" w:space="0" w:color="auto" w:frame="1"/>
        </w:rPr>
      </w:pPr>
      <w:r>
        <w:rPr>
          <w:bdr w:val="none" w:sz="0" w:space="0" w:color="auto" w:frame="1"/>
        </w:rPr>
        <w:t>Предложението обхваща не само лицата, които емитират криптоактиви, но и предприятията, които предоставят услуги, свързани с тези инструменти, като например предприятията, които държат под попечителство криптоактивите на клиентите, субектите, които дават възможност на клиентите да придобиват или да продават криптоактиви срещу пари и предприятията, които управляват търговски платформи. Поради тази причина сред въведените защитни мерки фигурират капиталовите изисквания, изискванията за управление и правата на инвеститора по отношение на емитента.</w:t>
      </w:r>
    </w:p>
    <w:p w:rsidR="005B20AB" w:rsidRPr="00212ACA" w:rsidRDefault="005B20AB" w:rsidP="00212ACA">
      <w:pPr>
        <w:ind w:left="567" w:hanging="567"/>
      </w:pPr>
    </w:p>
    <w:p w:rsidR="00D632F6" w:rsidRDefault="00172F16">
      <w:pPr>
        <w:pStyle w:val="Heading3"/>
        <w:ind w:left="567" w:hanging="567"/>
        <w:rPr>
          <w:bdr w:val="none" w:sz="0" w:space="0" w:color="auto" w:frame="1"/>
        </w:rPr>
      </w:pPr>
      <w:r>
        <w:t>По-специално в случаите, когато на някои токени, обезпечени с активи и токени за електронни пари е призната такава значимост, че да бъдат определени като „значителни“ (по отношение на обеми, равностойност, брой на клиенти, така че да попаднат в полето на т.н.</w:t>
      </w:r>
      <w:r>
        <w:rPr>
          <w:bdr w:val="none" w:sz="0" w:space="0" w:color="auto" w:frame="1"/>
        </w:rPr>
        <w:t xml:space="preserve"> глобални „стабилни криптопари“), операторите емитенти ще подлежат на по</w:t>
      </w:r>
      <w:r w:rsidR="00DD5B10">
        <w:rPr>
          <w:bdr w:val="none" w:sz="0" w:space="0" w:color="auto" w:frame="1"/>
        </w:rPr>
        <w:noBreakHyphen/>
      </w:r>
      <w:r>
        <w:rPr>
          <w:bdr w:val="none" w:sz="0" w:space="0" w:color="auto" w:frame="1"/>
        </w:rPr>
        <w:t>строги изисквания.</w:t>
      </w:r>
    </w:p>
    <w:p w:rsidR="00172F16" w:rsidRDefault="00172F16" w:rsidP="00212ACA">
      <w:pPr>
        <w:rPr>
          <w:bdr w:val="none" w:sz="0" w:space="0" w:color="auto" w:frame="1"/>
        </w:rPr>
      </w:pPr>
    </w:p>
    <w:p w:rsidR="00CE4B36" w:rsidRDefault="00CE4B36" w:rsidP="00A818FD">
      <w:pPr>
        <w:pStyle w:val="Heading3"/>
        <w:ind w:left="567" w:hanging="567"/>
        <w:rPr>
          <w:bdr w:val="none" w:sz="0" w:space="0" w:color="auto" w:frame="1"/>
        </w:rPr>
      </w:pPr>
      <w:r>
        <w:rPr>
          <w:bdr w:val="none" w:sz="0" w:space="0" w:color="auto" w:frame="1"/>
        </w:rPr>
        <w:t>Като се има предвид конкретната възможност стабилните криптопари в бъдеще да станат широко приети и потенциално системни, в предложението на Комисията са предвидени и предпазни механизми с оглед на рисковете, които „стабилните криптопари“ биха могли да породят за финансовата стабилност и нормалното провеждане на паричната политика.</w:t>
      </w:r>
    </w:p>
    <w:p w:rsidR="00A818FD" w:rsidRPr="00A818FD" w:rsidRDefault="00A818FD" w:rsidP="00A818FD"/>
    <w:p w:rsidR="00254D5E" w:rsidRDefault="00CE4B36" w:rsidP="00A818FD">
      <w:pPr>
        <w:pStyle w:val="Heading3"/>
        <w:ind w:left="567" w:hanging="567"/>
        <w:rPr>
          <w:bdr w:val="none" w:sz="0" w:space="0" w:color="auto" w:frame="1"/>
        </w:rPr>
      </w:pPr>
      <w:r>
        <w:rPr>
          <w:bdr w:val="none" w:sz="0" w:space="0" w:color="auto" w:frame="1"/>
        </w:rPr>
        <w:t>Тези инструменти са криптоактиви, които например за разлика от известния биткойн имат относително стабилна цена, тъй като тя е обвързана с еднакво стабилно разменно средство (т.е. институционална валута), и поради това в близко бъдеще вече могат да се превърнат в широко разпространени платежни и инвестиционни системи.</w:t>
      </w:r>
    </w:p>
    <w:p w:rsidR="00CE4B36" w:rsidRDefault="00CE4B36" w:rsidP="00CE4B36">
      <w:pPr>
        <w:pStyle w:val="Heading1"/>
        <w:numPr>
          <w:ilvl w:val="0"/>
          <w:numId w:val="0"/>
        </w:numPr>
        <w:ind w:left="360"/>
        <w:rPr>
          <w:rFonts w:ascii="TimesNewRoman" w:hAnsi="TimesNewRoman"/>
          <w:color w:val="000000"/>
          <w:szCs w:val="22"/>
          <w:bdr w:val="none" w:sz="0" w:space="0" w:color="auto" w:frame="1"/>
          <w:lang w:eastAsia="en-GB" w:bidi="ar-SA"/>
        </w:rPr>
      </w:pPr>
    </w:p>
    <w:p w:rsidR="00CE4B36" w:rsidRPr="00F2056E" w:rsidRDefault="00CE4B36" w:rsidP="00A818FD">
      <w:pPr>
        <w:pStyle w:val="Heading3"/>
        <w:ind w:left="567" w:hanging="567"/>
        <w:rPr>
          <w:bdr w:val="none" w:sz="0" w:space="0" w:color="auto" w:frame="1"/>
        </w:rPr>
      </w:pPr>
      <w:r>
        <w:rPr>
          <w:bdr w:val="none" w:sz="0" w:space="0" w:color="auto" w:frame="1"/>
        </w:rPr>
        <w:t>По-специално, в дял II е регламентирано публичното предлагане на криптоактиви, различни от токени, обезпечени с активи, и токени за електронни пари, определяйки, че даден емитент има право да предлага такива криптоактиви публично или да кандидатства за допускането им до търговия на платформа за търговия с криптоактиви, ако отговаря на: i) изискванията по член 4, например задължението за учредяване под формата на юридическо лице; ii) задължението за изготвяне на информационен документ, наричан също „бяла книга за криптоактива“ (член 5); допълнителното задължение да изпрати на компетентните органи бялата книга и да я публикува (членове 7 и 8).</w:t>
      </w:r>
    </w:p>
    <w:p w:rsidR="00CE4B36" w:rsidRDefault="00CE4B36" w:rsidP="00CE4B36">
      <w:pPr>
        <w:pStyle w:val="Heading1"/>
        <w:numPr>
          <w:ilvl w:val="0"/>
          <w:numId w:val="0"/>
        </w:numPr>
        <w:ind w:left="360"/>
        <w:rPr>
          <w:rFonts w:ascii="TimesNewRoman" w:hAnsi="TimesNewRoman"/>
          <w:color w:val="000000"/>
          <w:szCs w:val="22"/>
          <w:bdr w:val="none" w:sz="0" w:space="0" w:color="auto" w:frame="1"/>
          <w:lang w:eastAsia="en-GB" w:bidi="ar-SA"/>
        </w:rPr>
      </w:pPr>
    </w:p>
    <w:p w:rsidR="00CE4B36" w:rsidRPr="002C5D14" w:rsidRDefault="00CE4B36" w:rsidP="00A818FD">
      <w:pPr>
        <w:pStyle w:val="Heading3"/>
        <w:ind w:left="567" w:hanging="567"/>
        <w:rPr>
          <w:bdr w:val="none" w:sz="0" w:space="0" w:color="auto" w:frame="1"/>
        </w:rPr>
      </w:pPr>
      <w:r>
        <w:rPr>
          <w:bdr w:val="none" w:sz="0" w:space="0" w:color="auto" w:frame="1"/>
        </w:rPr>
        <w:t>Информационният документ (бяла книга) няма да е необходим, когато общата стойност на емисията на криптоактивите е под 1 000 000 EUR за период от 12 месеца, като по този начин се избягва създаването на прекомерна административна тежест за малките и средните предприятия (МСП).</w:t>
      </w:r>
    </w:p>
    <w:p w:rsidR="00CE4B36" w:rsidRDefault="00CE4B36" w:rsidP="00CE4B36">
      <w:pPr>
        <w:pStyle w:val="Heading1"/>
        <w:numPr>
          <w:ilvl w:val="0"/>
          <w:numId w:val="0"/>
        </w:numPr>
        <w:ind w:left="360"/>
        <w:rPr>
          <w:rFonts w:ascii="TimesNewRoman" w:hAnsi="TimesNewRoman"/>
          <w:color w:val="000000"/>
          <w:szCs w:val="22"/>
          <w:bdr w:val="none" w:sz="0" w:space="0" w:color="auto" w:frame="1"/>
          <w:lang w:eastAsia="en-GB" w:bidi="ar-SA"/>
        </w:rPr>
      </w:pPr>
    </w:p>
    <w:p w:rsidR="00CE4B36" w:rsidRDefault="00CE4B36" w:rsidP="00A818FD">
      <w:pPr>
        <w:pStyle w:val="Heading3"/>
        <w:ind w:left="567" w:hanging="567"/>
        <w:rPr>
          <w:bdr w:val="none" w:sz="0" w:space="0" w:color="auto" w:frame="1"/>
        </w:rPr>
      </w:pPr>
      <w:r>
        <w:rPr>
          <w:bdr w:val="none" w:sz="0" w:space="0" w:color="auto" w:frame="1"/>
        </w:rPr>
        <w:t>Комисията предлага също така пояснение, че съществуващото определение за „финансови инструменти“, което определя обхвата на Директивата за пазарите на финансови инструменти (ДПФИ II) – включва финансови инструменти, основани на ТРР, както и специален режим за криптоактивите, които не са обхванати от действащото законодателство в областта на финансовите услуги, както и токените за електронни пари.</w:t>
      </w:r>
    </w:p>
    <w:p w:rsidR="00CE4B36" w:rsidRPr="003200DB" w:rsidRDefault="00CE4B36" w:rsidP="00CE4B36">
      <w:pPr>
        <w:rPr>
          <w:lang w:eastAsia="en-GB" w:bidi="ar-SA"/>
        </w:rPr>
      </w:pPr>
    </w:p>
    <w:p w:rsidR="00CE4B36" w:rsidRDefault="00CE4B36" w:rsidP="00A818FD">
      <w:pPr>
        <w:pStyle w:val="Heading3"/>
        <w:ind w:left="567" w:hanging="567"/>
        <w:rPr>
          <w:bdr w:val="none" w:sz="0" w:space="0" w:color="auto" w:frame="1"/>
        </w:rPr>
      </w:pPr>
      <w:r>
        <w:rPr>
          <w:bdr w:val="none" w:sz="0" w:space="0" w:color="auto" w:frame="1"/>
        </w:rPr>
        <w:t>Законодателството е съсредоточено освен това върху емитирането на криптоактиви (или токени) от страна на операторите, които възнамеряват да действат на европейския единен пазар и ще трябва да се адаптират към:</w:t>
      </w:r>
    </w:p>
    <w:p w:rsidR="00A818FD" w:rsidRPr="00A818FD" w:rsidRDefault="00A818FD" w:rsidP="00A818FD">
      <w:pPr>
        <w:rPr>
          <w:lang w:eastAsia="en-GB" w:bidi="ar-SA"/>
        </w:rPr>
      </w:pPr>
    </w:p>
    <w:p w:rsidR="00254D5E" w:rsidRDefault="00CE4B36" w:rsidP="00A642FB">
      <w:pPr>
        <w:pStyle w:val="Heading1"/>
        <w:numPr>
          <w:ilvl w:val="0"/>
          <w:numId w:val="72"/>
        </w:numPr>
        <w:rPr>
          <w:rFonts w:ascii="TimesNewRoman" w:hAnsi="TimesNewRoman"/>
          <w:color w:val="000000"/>
          <w:szCs w:val="22"/>
          <w:bdr w:val="none" w:sz="0" w:space="0" w:color="auto" w:frame="1"/>
        </w:rPr>
      </w:pPr>
      <w:r>
        <w:rPr>
          <w:rFonts w:ascii="TimesNewRoman" w:hAnsi="TimesNewRoman"/>
          <w:color w:val="000000"/>
          <w:szCs w:val="22"/>
          <w:bdr w:val="none" w:sz="0" w:space="0" w:color="auto" w:frame="1"/>
        </w:rPr>
        <w:t>изисквания за прозрачност и оповестяване във връзка с емитирането и допускането до търговия на съответните токени;</w:t>
      </w:r>
    </w:p>
    <w:p w:rsidR="00254D5E" w:rsidRDefault="00CE4B36" w:rsidP="00A642FB">
      <w:pPr>
        <w:pStyle w:val="Heading1"/>
        <w:numPr>
          <w:ilvl w:val="0"/>
          <w:numId w:val="72"/>
        </w:numPr>
        <w:rPr>
          <w:rFonts w:ascii="TimesNewRoman" w:hAnsi="TimesNewRoman"/>
          <w:color w:val="000000"/>
          <w:szCs w:val="22"/>
          <w:bdr w:val="none" w:sz="0" w:space="0" w:color="auto" w:frame="1"/>
        </w:rPr>
      </w:pPr>
      <w:r>
        <w:rPr>
          <w:rFonts w:ascii="TimesNewRoman" w:hAnsi="TimesNewRoman"/>
          <w:color w:val="000000"/>
          <w:szCs w:val="22"/>
          <w:bdr w:val="none" w:sz="0" w:space="0" w:color="auto" w:frame="1"/>
        </w:rPr>
        <w:t>разрешителния и надзорния режим върху доставчиците на услуги и емитентите на „стабилни криптопари“;</w:t>
      </w:r>
    </w:p>
    <w:p w:rsidR="00254D5E" w:rsidRDefault="00CE4B36" w:rsidP="00A642FB">
      <w:pPr>
        <w:pStyle w:val="Heading1"/>
        <w:numPr>
          <w:ilvl w:val="0"/>
          <w:numId w:val="72"/>
        </w:numPr>
        <w:rPr>
          <w:rFonts w:ascii="TimesNewRoman" w:hAnsi="TimesNewRoman"/>
          <w:color w:val="000000"/>
          <w:szCs w:val="22"/>
          <w:bdr w:val="none" w:sz="0" w:space="0" w:color="auto" w:frame="1"/>
        </w:rPr>
      </w:pPr>
      <w:r>
        <w:rPr>
          <w:rFonts w:ascii="TimesNewRoman" w:hAnsi="TimesNewRoman"/>
          <w:color w:val="000000"/>
          <w:bdr w:val="none" w:sz="0" w:space="0" w:color="auto" w:frame="1"/>
        </w:rPr>
        <w:t>оперативните, организационни и управленски изисквания по отношение на емитентите на „стабилни криптопари“ (и тук е добре да се отбележи, че това не е по отношение на други токени, т.е. главно токени за стоки или услуги(</w:t>
      </w:r>
      <w:r>
        <w:rPr>
          <w:rFonts w:ascii="TimesNewRoman" w:hAnsi="TimesNewRoman"/>
          <w:i/>
          <w:color w:val="000000"/>
          <w:bdr w:val="none" w:sz="0" w:space="0" w:color="auto" w:frame="1"/>
        </w:rPr>
        <w:t>utility</w:t>
      </w:r>
      <w:r>
        <w:rPr>
          <w:rFonts w:ascii="TimesNewRoman" w:hAnsi="TimesNewRoman"/>
          <w:color w:val="000000"/>
          <w:bdr w:val="none" w:sz="0" w:space="0" w:color="auto" w:frame="1"/>
        </w:rPr>
        <w:t xml:space="preserve"> </w:t>
      </w:r>
      <w:r>
        <w:rPr>
          <w:rFonts w:ascii="TimesNewRoman" w:hAnsi="TimesNewRoman"/>
          <w:i/>
          <w:color w:val="000000"/>
          <w:szCs w:val="22"/>
          <w:bdr w:val="none" w:sz="0" w:space="0" w:color="auto" w:frame="1"/>
        </w:rPr>
        <w:t>token</w:t>
      </w:r>
      <w:r>
        <w:rPr>
          <w:rFonts w:ascii="TimesNewRoman" w:hAnsi="TimesNewRoman"/>
          <w:color w:val="000000"/>
          <w:bdr w:val="none" w:sz="0" w:space="0" w:color="auto" w:frame="1"/>
        </w:rPr>
        <w:t>) и на доставчиците на услуги;</w:t>
      </w:r>
    </w:p>
    <w:p w:rsidR="00254D5E" w:rsidRDefault="00CE4B36" w:rsidP="00217D57">
      <w:pPr>
        <w:pStyle w:val="Heading1"/>
        <w:numPr>
          <w:ilvl w:val="0"/>
          <w:numId w:val="72"/>
        </w:numPr>
        <w:rPr>
          <w:rFonts w:ascii="TimesNewRoman" w:hAnsi="TimesNewRoman"/>
          <w:color w:val="000000"/>
          <w:szCs w:val="22"/>
          <w:bdr w:val="none" w:sz="0" w:space="0" w:color="auto" w:frame="1"/>
        </w:rPr>
      </w:pPr>
      <w:r>
        <w:rPr>
          <w:rFonts w:ascii="TimesNewRoman" w:hAnsi="TimesNewRoman"/>
          <w:color w:val="000000"/>
          <w:bdr w:val="none" w:sz="0" w:space="0" w:color="auto" w:frame="1"/>
        </w:rPr>
        <w:t>•</w:t>
      </w:r>
      <w:r>
        <w:rPr>
          <w:rFonts w:ascii="TimesNewRoman" w:hAnsi="TimesNewRoman"/>
          <w:color w:val="000000"/>
          <w:bdr w:val="none" w:sz="0" w:space="0" w:color="auto" w:frame="1"/>
        </w:rPr>
        <w:tab/>
        <w:t>законодателството за защита на потребителите във връзка с емитирането, търговията и попечителството на криптоактиви;</w:t>
      </w:r>
    </w:p>
    <w:p w:rsidR="00CE4B36" w:rsidRPr="00217D57" w:rsidRDefault="00CE4B36" w:rsidP="00C938FB">
      <w:pPr>
        <w:pStyle w:val="Heading1"/>
        <w:numPr>
          <w:ilvl w:val="0"/>
          <w:numId w:val="72"/>
        </w:numPr>
        <w:rPr>
          <w:rFonts w:ascii="TimesNewRoman" w:hAnsi="TimesNewRoman"/>
          <w:color w:val="000000"/>
          <w:szCs w:val="22"/>
          <w:bdr w:val="none" w:sz="0" w:space="0" w:color="auto" w:frame="1"/>
        </w:rPr>
      </w:pPr>
      <w:r>
        <w:rPr>
          <w:rFonts w:ascii="TimesNewRoman" w:hAnsi="TimesNewRoman"/>
          <w:color w:val="000000"/>
          <w:szCs w:val="22"/>
          <w:bdr w:val="none" w:sz="0" w:space="0" w:color="auto" w:frame="1"/>
        </w:rPr>
        <w:t>мерки за предотвратяване на случаи на пазарна злоупотреба и за гарантиране целостта на пазарите на криптоактиви.</w:t>
      </w:r>
    </w:p>
    <w:p w:rsidR="00172F16" w:rsidRPr="00172F16" w:rsidRDefault="00172F16" w:rsidP="00172F16">
      <w:pPr>
        <w:rPr>
          <w:lang w:eastAsia="en-GB" w:bidi="ar-SA"/>
        </w:rPr>
      </w:pPr>
    </w:p>
    <w:p w:rsidR="00CE4B36" w:rsidRPr="007B6B96" w:rsidRDefault="00CE4B36" w:rsidP="00DD5B10">
      <w:pPr>
        <w:pStyle w:val="Heading2"/>
        <w:keepLines/>
        <w:ind w:left="567" w:hanging="567"/>
        <w:rPr>
          <w:bdr w:val="none" w:sz="0" w:space="0" w:color="auto" w:frame="1"/>
        </w:rPr>
      </w:pPr>
      <w:r>
        <w:rPr>
          <w:bdr w:val="none" w:sz="0" w:space="0" w:color="auto" w:frame="1"/>
        </w:rPr>
        <w:t>Предложение за Регламент относно пилотна уредба на пазарните инфраструктури, основани на технологията на децентрализирания регистър (ТДР) (терминът „децентрализиран регистър“, използван в СОМ 594 е равнозначен на общоприетия термин „разпределен регистър“- бел.прев.)</w:t>
      </w:r>
    </w:p>
    <w:p w:rsidR="00CE4B36" w:rsidRPr="003200DB" w:rsidRDefault="00CE4B36" w:rsidP="00CE4B36">
      <w:pPr>
        <w:pStyle w:val="NormalWeb"/>
        <w:spacing w:before="0" w:beforeAutospacing="0" w:after="0" w:afterAutospacing="0"/>
        <w:jc w:val="both"/>
        <w:rPr>
          <w:rFonts w:ascii="TimesNewRoman" w:hAnsi="TimesNewRoman"/>
          <w:b/>
          <w:color w:val="000000"/>
          <w:sz w:val="22"/>
          <w:szCs w:val="22"/>
          <w:u w:val="single"/>
          <w:bdr w:val="none" w:sz="0" w:space="0" w:color="auto" w:frame="1"/>
          <w:lang w:val="it-IT"/>
        </w:rPr>
      </w:pPr>
    </w:p>
    <w:p w:rsidR="00254D5E" w:rsidRDefault="00CE4B36" w:rsidP="00736DFD">
      <w:pPr>
        <w:pStyle w:val="Heading3"/>
        <w:ind w:left="567" w:hanging="567"/>
      </w:pPr>
      <w:r>
        <w:t>Предложението относно пилотна уредба на пазарните инфраструктури, основани на ТРР има четири главни цели: i) правна сигурност; ii) подпомагане на иновациите, като се отстраняват пречките, които възникват при прилагане на новите технологии, основани на ТРР във финансовия сектор; iii) гарантиране на защитата на потребителите и инвеститорите, както и на целостта на пазара; iv) осигуряване на финансовата стабилност.</w:t>
      </w:r>
    </w:p>
    <w:p w:rsidR="00CE4B36" w:rsidRPr="002C5D14" w:rsidRDefault="00CE4B36" w:rsidP="00CE4B36">
      <w:pPr>
        <w:pStyle w:val="NormalWeb"/>
        <w:spacing w:before="0" w:beforeAutospacing="0" w:after="0" w:afterAutospacing="0" w:line="288" w:lineRule="auto"/>
        <w:ind w:left="357"/>
        <w:jc w:val="both"/>
        <w:rPr>
          <w:sz w:val="22"/>
          <w:szCs w:val="22"/>
          <w:lang w:val="it-IT"/>
        </w:rPr>
      </w:pPr>
    </w:p>
    <w:p w:rsidR="00254D5E" w:rsidRDefault="00CE4B36" w:rsidP="00A818FD">
      <w:pPr>
        <w:pStyle w:val="Heading3"/>
        <w:ind w:left="567" w:hanging="567"/>
      </w:pPr>
      <w:r>
        <w:t>За да бъдат постигнати тези цели, пилотната уредба въвежда подходящи гаранции, например като ограничава видовете търгуеми финансови инструменти, с разпоредби, насочени специално към гарантиране на финансовата стабилност и защитата на потребителите и инвеститорите.</w:t>
      </w:r>
    </w:p>
    <w:p w:rsidR="00A818FD" w:rsidRPr="00A818FD" w:rsidRDefault="00A818FD" w:rsidP="00A818FD"/>
    <w:p w:rsidR="00254D5E" w:rsidRDefault="00CE4B36" w:rsidP="00A818FD">
      <w:pPr>
        <w:pStyle w:val="Heading3"/>
        <w:ind w:left="567" w:hanging="567"/>
      </w:pPr>
      <w:r>
        <w:t>С уреждането – в пилотен и експериментален вид – на пазарните инфраструктури, основани на ТРР, с предложението за регулиране се предлага предприятията на ЕС да бъдат поставени в условия да се възползват изцяло от предимствата на действащата уредба, а надзорните и законодателните органи — да установят нормативните пречки, като същевременно и двете страни натрупат ценни знания за функционирането на ТРР.</w:t>
      </w:r>
    </w:p>
    <w:p w:rsidR="00A818FD" w:rsidRPr="00A818FD" w:rsidRDefault="00A818FD" w:rsidP="00A818FD"/>
    <w:p w:rsidR="00254D5E" w:rsidRDefault="00CE4B36" w:rsidP="00D1173D">
      <w:pPr>
        <w:pStyle w:val="Heading3"/>
        <w:keepNext/>
        <w:keepLines/>
        <w:ind w:left="567" w:hanging="567"/>
      </w:pPr>
      <w:r>
        <w:t>Именно поради тези причини и поради необходимостта от поетапен подход, инструментът на пилотната уредба следва да се разглежда като по-пропорционален в сравнение с целите, които трябва да бъдат постигнати, тъй като понастоящем няма достатъчно доказателства, които да оправдават въвеждането на постоянни по-значителни и широкообхватни регулаторни промени.</w:t>
      </w:r>
    </w:p>
    <w:p w:rsidR="00A818FD" w:rsidRPr="00A818FD" w:rsidRDefault="00A818FD" w:rsidP="00212ACA"/>
    <w:p w:rsidR="00CE4B36" w:rsidRDefault="00CE4B36" w:rsidP="00D1173D">
      <w:pPr>
        <w:pStyle w:val="Heading3"/>
        <w:keepNext/>
        <w:keepLines/>
        <w:ind w:left="567" w:hanging="567"/>
      </w:pPr>
      <w:r>
        <w:t>Целта на предложението е да се осигури на пазарните участници, които желаят да управляват пазарна инфраструктура, основана на ТРР, правна сигурност и гъвкавост чрез установяването на единни изисквания за управление. Разрешенията, предоставяни по силата на настоящия регламент, освен това биха позволили на пазарните оператори да управляват пазарна инфраструктура, основана на ТРР, и да предоставят своите услуги във всички държави членки, в рамките на подходящ контрол и надзор.</w:t>
      </w:r>
    </w:p>
    <w:p w:rsidR="00A818FD" w:rsidRPr="00A818FD" w:rsidRDefault="00A818FD" w:rsidP="00A818FD"/>
    <w:p w:rsidR="00CE4B36" w:rsidRDefault="00CE4B36" w:rsidP="00A818FD">
      <w:pPr>
        <w:pStyle w:val="Heading3"/>
        <w:ind w:left="567" w:hanging="567"/>
      </w:pPr>
      <w:r>
        <w:t>По-конкретно, член 1 определя предмета и обхвата на предложението, докато в член 2 са посочени термините и определенията, включително понятията „пазарна инфраструктура, основана на ТРР“, „многостранна система за търговия, основана на ТРР“ („МСТ-ТДР“) „система за сетълмент на ценни книжа, основана на ТРР“ и „прехвърлими ценни книжа, основани на ТРР“.</w:t>
      </w:r>
    </w:p>
    <w:p w:rsidR="00A818FD" w:rsidRPr="00A818FD" w:rsidRDefault="00A818FD" w:rsidP="00A818FD"/>
    <w:p w:rsidR="00CE4B36" w:rsidRDefault="00CE4B36" w:rsidP="00A818FD">
      <w:pPr>
        <w:pStyle w:val="Heading3"/>
        <w:ind w:left="567" w:hanging="567"/>
      </w:pPr>
      <w:r>
        <w:t>В член 3 се посочват наложените върху пазарните инфраструктури, основани на ТРР, ограничения по отношение на прехвърлимите ценни книжа, основани на ТРР, които могат да бъдат допуснати за търгуване на тези инфраструктури или регистрирани от тях. За акциите пазарната капитализация или ориентировъчната пазарна капитализация на емитента на прехвърлимите ценни книжа, основани на Т</w:t>
      </w:r>
      <w:r w:rsidR="00DD5B10">
        <w:t>РР, би трябвало да бъде под 200 </w:t>
      </w:r>
      <w:r>
        <w:t>млн. евро; за публичните облигации, които не са държавни облигации, покрити облигации, нито корпоративни облигации, ограничението е 500 млн. евро. Пазарните инфраструктури, основани на ТРР, не би трябвало да допускат за търгуване държавни облигации, нито да ги регистрират.</w:t>
      </w:r>
    </w:p>
    <w:p w:rsidR="00A818FD" w:rsidRPr="00A818FD" w:rsidRDefault="00A818FD" w:rsidP="00A818FD"/>
    <w:p w:rsidR="00254D5E" w:rsidRDefault="00CE4B36" w:rsidP="00A818FD">
      <w:pPr>
        <w:pStyle w:val="Heading3"/>
        <w:ind w:left="567" w:hanging="567"/>
      </w:pPr>
      <w:r>
        <w:t>В член 4 се установяват изискванията за МСТ-ТРР, които са същите като за МСТ по силата на Директива 2014/65/ЕС, и се посочват възможните освобождавания съгласно настоящия регламент. В членове 7 и 8 се установява процедурата за специално разрешение за експлоатация на МСТ-ТРР и на система за сетълмент на ценни книжа, основана на ТРР; в тях също така се посочва подробно информацията, която трябва да бъде предоставяна на компетентния орган. В член 9 се определя сътрудничеството между пазарната инфраструктура, основана на ТРР, компетентните органи и ЕОЦКП. В член 10 се посочва, че най-късно след изтичането на петгодишен срок ЕОЦКП ще представи на Комисията подробен доклад за пилотната уредба.</w:t>
      </w:r>
    </w:p>
    <w:p w:rsidR="00CE4B36" w:rsidRPr="003200DB" w:rsidRDefault="00CE4B36" w:rsidP="00CE4B36">
      <w:pPr>
        <w:pStyle w:val="Heading1"/>
        <w:numPr>
          <w:ilvl w:val="0"/>
          <w:numId w:val="0"/>
        </w:numPr>
        <w:rPr>
          <w:b/>
        </w:rPr>
      </w:pPr>
    </w:p>
    <w:p w:rsidR="00CE4B36" w:rsidRPr="00A818FD" w:rsidRDefault="00CE4B36" w:rsidP="00D1173D">
      <w:pPr>
        <w:pStyle w:val="Heading1"/>
        <w:keepNext/>
        <w:keepLines/>
        <w:ind w:left="567" w:hanging="567"/>
        <w:rPr>
          <w:b/>
        </w:rPr>
      </w:pPr>
      <w:r>
        <w:rPr>
          <w:b/>
        </w:rPr>
        <w:t>Общи и конкретни бележки</w:t>
      </w:r>
    </w:p>
    <w:p w:rsidR="00CE4B36" w:rsidRDefault="00CE4B36" w:rsidP="00D1173D">
      <w:pPr>
        <w:pStyle w:val="NormalWeb"/>
        <w:keepNext/>
        <w:keepLines/>
        <w:spacing w:before="0" w:beforeAutospacing="0" w:after="0" w:afterAutospacing="0" w:line="288" w:lineRule="auto"/>
        <w:ind w:left="357"/>
        <w:jc w:val="both"/>
        <w:rPr>
          <w:sz w:val="22"/>
          <w:szCs w:val="20"/>
          <w:lang w:val="it-IT" w:eastAsia="it-IT" w:bidi="it-IT"/>
        </w:rPr>
      </w:pPr>
    </w:p>
    <w:p w:rsidR="00A818FD" w:rsidRDefault="00CE4B36" w:rsidP="00A818FD">
      <w:pPr>
        <w:pStyle w:val="Heading2"/>
        <w:ind w:left="567" w:hanging="567"/>
      </w:pPr>
      <w:r>
        <w:t>ЕИСК споделя целите на Европейската комисия и с настоящото становище подкрепя ползата и важността на прилагането до средата на 2022 г. на различните мерки за адаптирането на законодателството, необходими за модернизиране на финансовите услуги, без да се забравя защитата на потребителите и целостта на пазара.</w:t>
      </w:r>
    </w:p>
    <w:p w:rsidR="000749F1" w:rsidRPr="000749F1" w:rsidRDefault="000749F1" w:rsidP="00FF4D3D"/>
    <w:p w:rsidR="004C08F6" w:rsidRDefault="004C08F6" w:rsidP="000749F1">
      <w:pPr>
        <w:pStyle w:val="Heading2"/>
        <w:ind w:left="567" w:hanging="567"/>
      </w:pPr>
      <w:r>
        <w:t>По-специално със законодателните предложения се цели гарантиране на правната сигурност по отношение на регулаторното третиране на криптоактивите. Яснотата на нормативната рамка, приложима за всички криптоактиви, както и за всички субекти, които предоставят свързаните с тях услуги, е необходимо условие за разработване на иновативни решения с добавена стойност на този пазар. По-конкретно изборът да се работи с „регламент“ вместо с директива допринася за постигане на подходяща еднородност на съдържанието и прилагане на новите правила на вътрешния пазар.</w:t>
      </w:r>
    </w:p>
    <w:p w:rsidR="00315E23" w:rsidRPr="00315E23" w:rsidRDefault="00315E23" w:rsidP="00212ACA"/>
    <w:p w:rsidR="000749F1" w:rsidRPr="000749F1" w:rsidRDefault="00DE1B92" w:rsidP="000749F1">
      <w:pPr>
        <w:pStyle w:val="Heading2"/>
        <w:ind w:left="567" w:hanging="567"/>
      </w:pPr>
      <w:r>
        <w:t>Комитетът отбелязва, че законодателните действия на Комисията бяха дългоочаквани и поради това желае да подчертае, че днес това е необходимо и спешно за предоставяне на цялостно законодателство по отношение на технологично явление, което непрекъснато се развива и бързо се променя.</w:t>
      </w:r>
    </w:p>
    <w:p w:rsidR="00A818FD" w:rsidRDefault="00A818FD" w:rsidP="0065630D">
      <w:pPr>
        <w:pStyle w:val="Heading2"/>
        <w:numPr>
          <w:ilvl w:val="0"/>
          <w:numId w:val="0"/>
        </w:numPr>
        <w:ind w:left="567"/>
      </w:pPr>
    </w:p>
    <w:p w:rsidR="00A818FD" w:rsidRDefault="00CE4B36" w:rsidP="0065630D">
      <w:pPr>
        <w:pStyle w:val="Heading2"/>
        <w:ind w:left="567" w:hanging="567"/>
        <w:rPr>
          <w:szCs w:val="22"/>
        </w:rPr>
      </w:pPr>
      <w:r>
        <w:t>ЕИСК счита за полезни действията, предвидени с цел: i) защита на крайните потребители на цифровите финансови услуги; ii) запазване на финансовата стабилност; iii) защита на целостта на финансовия сектор на ЕС; iv) гарантиране на равни условия за различните оператори на икономическата и финансовата система.</w:t>
      </w:r>
    </w:p>
    <w:p w:rsidR="00A818FD" w:rsidRDefault="00A818FD" w:rsidP="0065630D">
      <w:pPr>
        <w:pStyle w:val="Heading2"/>
        <w:numPr>
          <w:ilvl w:val="0"/>
          <w:numId w:val="0"/>
        </w:numPr>
        <w:ind w:left="567"/>
        <w:rPr>
          <w:szCs w:val="22"/>
        </w:rPr>
      </w:pPr>
    </w:p>
    <w:p w:rsidR="00254D5E" w:rsidRDefault="00CE4B36" w:rsidP="00DD5B10">
      <w:pPr>
        <w:pStyle w:val="Heading2"/>
        <w:keepLines/>
        <w:ind w:left="567" w:hanging="567"/>
      </w:pPr>
      <w:r>
        <w:t>Комитетът одобрява и подкрепя предложението, с което се цели да се направи така, че емитентите на значителни криптоактиви, известни като световни „стабилни криптопари“, да подлежат на по-строги изисквания по отношение на капитал, права на инвеститорите и надзор. Необходимостта да се предприемат действия с регламентиране е наложителна, за да се избегне създаването на парични потоци, независими от надзорните действия на централните банки, на секторните органи, и на демократичните институции.</w:t>
      </w:r>
    </w:p>
    <w:p w:rsidR="00D153B6" w:rsidRPr="00D153B6" w:rsidRDefault="00D153B6" w:rsidP="00D1173D"/>
    <w:p w:rsidR="00254D5E" w:rsidRDefault="00315E23" w:rsidP="00D153B6">
      <w:pPr>
        <w:pStyle w:val="Heading2"/>
        <w:ind w:left="567" w:hanging="567"/>
      </w:pPr>
      <w:r>
        <w:t>ЕИСК оценява факта, че системните усилия на Комисията за дефиниране на понятията „криптоактиви“ и „технология на разпределения регистър“ трябва да бъдат такива, че в използваните определения да бъдат включени различните видове криптоактиви, като определенията се направят подходящи с оглед на възможните бъдещи технологични и пазарни развития.</w:t>
      </w:r>
    </w:p>
    <w:p w:rsidR="00247889" w:rsidRDefault="00247889" w:rsidP="00212ACA">
      <w:pPr>
        <w:pStyle w:val="Heading2"/>
        <w:numPr>
          <w:ilvl w:val="0"/>
          <w:numId w:val="0"/>
        </w:numPr>
        <w:ind w:left="567"/>
        <w:rPr>
          <w:szCs w:val="22"/>
        </w:rPr>
      </w:pPr>
    </w:p>
    <w:p w:rsidR="00315E23" w:rsidRDefault="00315E23" w:rsidP="00D153B6">
      <w:pPr>
        <w:pStyle w:val="Heading2"/>
        <w:ind w:left="567" w:hanging="567"/>
        <w:rPr>
          <w:szCs w:val="22"/>
        </w:rPr>
      </w:pPr>
      <w:r>
        <w:t>Комитетът обаче счита, че по-голяма яснота може да бъде постигната чрез разработването на по-подробни спецификации относно различните подкатегории криптоактиви и техния обхват. По този начин може да се избегнат рискове при тълкуването относно третирането на видовете криптоактиви, което включва в остатъчната категория „криптоактиви, различни от токени, обезпечени с активи, или от токени за електронни пари“.</w:t>
      </w:r>
    </w:p>
    <w:p w:rsidR="00A2425A" w:rsidRPr="00A2425A" w:rsidRDefault="00A2425A" w:rsidP="00212ACA"/>
    <w:p w:rsidR="00254D5E" w:rsidRDefault="00A2425A" w:rsidP="00D153B6">
      <w:pPr>
        <w:pStyle w:val="Heading2"/>
        <w:ind w:left="567" w:hanging="567"/>
      </w:pPr>
      <w:r>
        <w:t>ЕИСК приветства старателното предотвратяване на дублиране на разпоредби в предложението за регламент, изразено в освобождаванията по отношение на обхвата на ПКА съгласно член 2, параграф 2 от предложението. Става дума за подходящи и съществени мерки, тъй като е необходимо да се избягва припокриване на изисквания и дублиране на законодателството на предложението за ПКА и например на ДПФИ II.</w:t>
      </w:r>
    </w:p>
    <w:p w:rsidR="006346CA" w:rsidRDefault="006346CA" w:rsidP="00212ACA">
      <w:pPr>
        <w:pStyle w:val="Heading2"/>
        <w:numPr>
          <w:ilvl w:val="0"/>
          <w:numId w:val="0"/>
        </w:numPr>
        <w:ind w:left="567"/>
        <w:rPr>
          <w:szCs w:val="22"/>
        </w:rPr>
      </w:pPr>
    </w:p>
    <w:p w:rsidR="00A2425A" w:rsidRDefault="00A2425A" w:rsidP="00D153B6">
      <w:pPr>
        <w:pStyle w:val="Heading2"/>
        <w:ind w:left="567" w:hanging="567"/>
        <w:rPr>
          <w:szCs w:val="22"/>
        </w:rPr>
      </w:pPr>
      <w:r>
        <w:t>Всъщност е необходимо регулаторните режими да не вл</w:t>
      </w:r>
      <w:r w:rsidR="003B3B96">
        <w:t>изат в конфликт помежду си, тъй </w:t>
      </w:r>
      <w:r>
        <w:t>като това може да увеличи регулаторната несигурност, като доведе до разходи, свързани със спазване на изискванията, и прекомерни тежести за операторите, които могат да ограничат иновациите. За да бъде постигнато ясно разграничение между двете области и следователно необходимата правна сигурност, следва да бъде изготвено определение за „токени за ценни книжа“, като същевременно се предоставят ясни указания за отличителните характеристики на даден вид криптоактиви, който може да се квалифицира като финансов инструмент.</w:t>
      </w:r>
    </w:p>
    <w:p w:rsidR="00A2425A" w:rsidRPr="00A2425A" w:rsidRDefault="00A2425A" w:rsidP="00212ACA"/>
    <w:p w:rsidR="00D153B6" w:rsidRPr="00D153B6" w:rsidRDefault="00A2425A" w:rsidP="00D153B6">
      <w:pPr>
        <w:pStyle w:val="Heading2"/>
        <w:ind w:left="567" w:hanging="567"/>
        <w:rPr>
          <w:szCs w:val="22"/>
        </w:rPr>
      </w:pPr>
      <w:r>
        <w:t>Поради тези причини ЕИСК оценява институционалното и експертно участие на ЕБО</w:t>
      </w:r>
      <w:r w:rsidR="00851EA9">
        <w:rPr>
          <w:rStyle w:val="FootnoteReference"/>
          <w:szCs w:val="22"/>
        </w:rPr>
        <w:footnoteReference w:id="4"/>
      </w:r>
      <w:r>
        <w:t xml:space="preserve"> и ESMA</w:t>
      </w:r>
      <w:r w:rsidR="00851EA9">
        <w:rPr>
          <w:rStyle w:val="FootnoteReference"/>
          <w:szCs w:val="22"/>
        </w:rPr>
        <w:footnoteReference w:id="5"/>
      </w:r>
      <w:r>
        <w:t xml:space="preserve"> както на етапа преди публикуването на предложенията, които са предмет на настоящото становище, така и що се отнася до очакваното административно сътрудничество между тези европейски секторни органи и националните компетентни органи на етапа на прилагане на новите правила.</w:t>
      </w:r>
    </w:p>
    <w:p w:rsidR="00172F16" w:rsidRDefault="00172F16" w:rsidP="00172F16">
      <w:pPr>
        <w:pStyle w:val="Heading2"/>
        <w:numPr>
          <w:ilvl w:val="0"/>
          <w:numId w:val="0"/>
        </w:numPr>
        <w:ind w:left="567"/>
        <w:rPr>
          <w:szCs w:val="22"/>
        </w:rPr>
      </w:pPr>
    </w:p>
    <w:p w:rsidR="00172F16" w:rsidRDefault="00CE4B36" w:rsidP="00172F16">
      <w:pPr>
        <w:pStyle w:val="Heading2"/>
        <w:ind w:left="567" w:hanging="567"/>
        <w:rPr>
          <w:szCs w:val="22"/>
        </w:rPr>
      </w:pPr>
      <w:r>
        <w:t>Като решава да ограничи прилагането на предложението главно до токени за стоки или услуги и „стабилни криптопари“, Комисията ограничава регулаторната намеса до дейности, различни от финансовите инструменти и инвестиционните продукти, които могат да бъдат определени като „цифрово представяне“ на права, произтичащи от инвестиции и предприемачески дейности, управлявани посредством технологии на основата на децентрализирани регистри. По този начин токените и криптоактивите трябва да бъдат свързани с конкретни стойности и следователно ще бъдат изложени в по-малка степен на риска от опортюнистично използване, което би могло да доведе до натрупване на спестявания без необходимите защити за инвеститорите.</w:t>
      </w:r>
    </w:p>
    <w:p w:rsidR="00172F16" w:rsidRPr="00172F16" w:rsidRDefault="00172F16" w:rsidP="00172F16"/>
    <w:p w:rsidR="00A2425A" w:rsidRPr="00247889" w:rsidRDefault="00A2425A" w:rsidP="00247889">
      <w:pPr>
        <w:pStyle w:val="Heading2"/>
        <w:ind w:left="567" w:hanging="567"/>
        <w:rPr>
          <w:szCs w:val="22"/>
        </w:rPr>
      </w:pPr>
      <w:r>
        <w:t>В действителност ЕИСК счита, че е необходимо да се к</w:t>
      </w:r>
      <w:r w:rsidR="003B3B96">
        <w:t>ласифицират по-ясно „хибридните </w:t>
      </w:r>
      <w:r>
        <w:t>токени“. След фазата на емитиране някои криптоактиви всъщност могат да изпълняват различни функции, като променят своето естество и предварително установените условия. Ето защо е необходимо да се изясни регулаторният режим, който да се прилага към тези развиващи се хибридни инструменти, тъй като евентуалната промяна в естеството може да изисква прилагането на различни законодателни разпоредби.</w:t>
      </w:r>
    </w:p>
    <w:p w:rsidR="00A2425A" w:rsidRPr="00A2425A" w:rsidRDefault="00A2425A" w:rsidP="00212ACA"/>
    <w:p w:rsidR="00254D5E" w:rsidRDefault="00CE4B36" w:rsidP="00A818FD">
      <w:pPr>
        <w:pStyle w:val="Heading2"/>
        <w:ind w:left="567" w:hanging="567"/>
      </w:pPr>
      <w:r>
        <w:t>Освен това ЕИСК подкрепя действията на ЕС, насочени към отстраняване на евентуалните пречки пред иновациите, които могат да бъдат определяни от новите цифрови технологии и да са свързани със законодателството в областта на финансовите услуги, което не винаги е в състояние да бъде в крак с технологичните иновации, които следват една след друга във времето.</w:t>
      </w:r>
    </w:p>
    <w:p w:rsidR="00A818FD" w:rsidRDefault="00A818FD" w:rsidP="00A818FD">
      <w:pPr>
        <w:pStyle w:val="Heading2"/>
        <w:numPr>
          <w:ilvl w:val="0"/>
          <w:numId w:val="0"/>
        </w:numPr>
        <w:ind w:left="567"/>
        <w:rPr>
          <w:szCs w:val="22"/>
        </w:rPr>
      </w:pPr>
    </w:p>
    <w:p w:rsidR="00254D5E" w:rsidRDefault="00CE4B36" w:rsidP="00A818FD">
      <w:pPr>
        <w:pStyle w:val="Heading2"/>
        <w:ind w:left="567" w:hanging="567"/>
      </w:pPr>
      <w:r>
        <w:t>Сред иновациите, които представляват значителен потенциал за финансовите и паричните сектори, със сигурност трябва да се обърне специално внимание на технологията на разпределения регистър (ТРР), към която принадлежи например технологията на блоковата верига, представляваща инфраструктурата, на която се основава успехът на биткнойна и на други форми на криптоактиви.</w:t>
      </w:r>
    </w:p>
    <w:p w:rsidR="00A818FD" w:rsidRDefault="00A818FD" w:rsidP="00A818FD">
      <w:pPr>
        <w:pStyle w:val="Heading2"/>
        <w:numPr>
          <w:ilvl w:val="0"/>
          <w:numId w:val="0"/>
        </w:numPr>
        <w:ind w:left="567"/>
        <w:rPr>
          <w:szCs w:val="22"/>
        </w:rPr>
      </w:pPr>
    </w:p>
    <w:p w:rsidR="00A818FD" w:rsidRDefault="00CE4B36" w:rsidP="00A818FD">
      <w:pPr>
        <w:pStyle w:val="Heading2"/>
        <w:ind w:left="567" w:hanging="567"/>
        <w:rPr>
          <w:szCs w:val="22"/>
        </w:rPr>
      </w:pPr>
      <w:r>
        <w:t>ЕИСК счита, че ЕС е в състояние да гарантира ефективното прилагане на съществуващите стандарти към новия контекст с предложените промени за адаптирането на Директива (ЕС) 2019/1937. Европейското регулиране може освен това да гарантира сигурното развитие на нова регулаторна рамка, като тази, посочена в пилотното предложение за регулиране на пазарните инфраструктури, на основата на технологията на разпределния регистър.</w:t>
      </w:r>
    </w:p>
    <w:p w:rsidR="00A818FD" w:rsidRDefault="00A818FD" w:rsidP="00A818FD">
      <w:pPr>
        <w:pStyle w:val="Heading2"/>
        <w:numPr>
          <w:ilvl w:val="0"/>
          <w:numId w:val="0"/>
        </w:numPr>
        <w:ind w:left="567"/>
        <w:rPr>
          <w:szCs w:val="22"/>
        </w:rPr>
      </w:pPr>
    </w:p>
    <w:p w:rsidR="00A818FD" w:rsidRDefault="00CE4B36" w:rsidP="00A818FD">
      <w:pPr>
        <w:pStyle w:val="Heading2"/>
        <w:ind w:left="567" w:hanging="567"/>
        <w:rPr>
          <w:szCs w:val="22"/>
        </w:rPr>
      </w:pPr>
      <w:r>
        <w:t>Тези действия трябва да гарантират нормативна яснота, като дадат възможност на институционалния финансов сектор да постигне по-голяма ефективност чрез по-широко използване на технологията на разпределения  регистър (Distributed Ledger Technology – DLT) и за да отговори на разпространението, понякога неконтролирано, на алтернативните криптовалути или на платежните системи, разработвани от оператори, които не спазват законодателството.</w:t>
      </w:r>
    </w:p>
    <w:p w:rsidR="00A818FD" w:rsidRDefault="00A818FD" w:rsidP="00A818FD">
      <w:pPr>
        <w:pStyle w:val="Heading2"/>
        <w:numPr>
          <w:ilvl w:val="0"/>
          <w:numId w:val="0"/>
        </w:numPr>
        <w:ind w:left="567"/>
        <w:rPr>
          <w:szCs w:val="22"/>
        </w:rPr>
      </w:pPr>
    </w:p>
    <w:p w:rsidR="00A818FD" w:rsidRDefault="00CE4B36" w:rsidP="003B3B96">
      <w:pPr>
        <w:pStyle w:val="Heading2"/>
        <w:keepLines/>
        <w:ind w:left="567" w:hanging="567"/>
        <w:rPr>
          <w:szCs w:val="22"/>
        </w:rPr>
      </w:pPr>
      <w:r>
        <w:t>Неотложната необходимост от действията на ЕС освен това произтича от факта, че различни държави членки започнаха да приемат регулаторни инструменти, както със законодателни действия, така и с препоръки и насоки, издадени от органи или институции за второстепенно регулиране, като централните банки или органи за надзор и контрол на финансовите пазари.</w:t>
      </w:r>
    </w:p>
    <w:p w:rsidR="00172F16" w:rsidRPr="00172F16" w:rsidRDefault="00172F16" w:rsidP="00172F16"/>
    <w:p w:rsidR="00A818FD" w:rsidRDefault="00CE4B36" w:rsidP="00A818FD">
      <w:pPr>
        <w:pStyle w:val="Heading2"/>
        <w:ind w:left="567" w:hanging="567"/>
        <w:rPr>
          <w:szCs w:val="22"/>
        </w:rPr>
      </w:pPr>
      <w:r>
        <w:t>Макар и да споделя основните задачи и цели, съществува риск тези действия да създадат фрагментирана и нехомогенна регулаторна рамка на вътрешния пазар. От друга страна, някои държави членки до днес не са приели никаква инициатива, като допринасят за нехомогенен и фрагментиран регулаторен сценарий, при който съществуват различни регулаторни действия и липса на такива действия.</w:t>
      </w:r>
    </w:p>
    <w:p w:rsidR="00A818FD" w:rsidRDefault="00A818FD" w:rsidP="00A818FD">
      <w:pPr>
        <w:pStyle w:val="Heading2"/>
        <w:numPr>
          <w:ilvl w:val="0"/>
          <w:numId w:val="0"/>
        </w:numPr>
        <w:ind w:left="567"/>
        <w:rPr>
          <w:szCs w:val="22"/>
        </w:rPr>
      </w:pPr>
    </w:p>
    <w:p w:rsidR="00A2425A" w:rsidRDefault="00A2425A" w:rsidP="00A2425A">
      <w:pPr>
        <w:pStyle w:val="Heading2"/>
        <w:ind w:left="567" w:hanging="567"/>
        <w:rPr>
          <w:szCs w:val="22"/>
        </w:rPr>
      </w:pPr>
      <w:r>
        <w:t>ЕИСК счита, че тълкуването на регламента и взетите от компетентните национални власти решения в процеса на издаване на разрешения трябва да бъдат възможно най</w:t>
      </w:r>
      <w:r w:rsidR="003B3B96">
        <w:noBreakHyphen/>
      </w:r>
      <w:bookmarkStart w:id="0" w:name="_GoBack"/>
      <w:bookmarkEnd w:id="0"/>
      <w:r>
        <w:t>добре съгласувани помежду си, за да се гарантират равни условия и да се избегне законодателен произвол между различните държави членки, като се обмисли възможността за използване на режима за преносимост на разрешението в целия ЕС за лицензираните субекти.</w:t>
      </w:r>
    </w:p>
    <w:p w:rsidR="00A2425A" w:rsidRDefault="00A2425A" w:rsidP="00212ACA">
      <w:pPr>
        <w:pStyle w:val="Heading2"/>
        <w:numPr>
          <w:ilvl w:val="0"/>
          <w:numId w:val="0"/>
        </w:numPr>
        <w:ind w:left="567"/>
        <w:rPr>
          <w:szCs w:val="22"/>
        </w:rPr>
      </w:pPr>
    </w:p>
    <w:p w:rsidR="00A818FD" w:rsidRDefault="00CE4B36" w:rsidP="00A818FD">
      <w:pPr>
        <w:pStyle w:val="Heading2"/>
        <w:ind w:left="567" w:hanging="567"/>
        <w:rPr>
          <w:szCs w:val="22"/>
        </w:rPr>
      </w:pPr>
      <w:r>
        <w:t>Във връзка с това ЕИСК подкрепя решението на Комисията да се намеси чрез подходящ регламент, чрез който да се гарантира еднаквост и едновременност на законодателство, произтичащо от европейското равнище, тъй като единното и еднакво законодателство със сигурност е по-ефективно от множество държавни действия, в съответствие с принципа на субсидиарност, залегнал в Договорите.</w:t>
      </w:r>
    </w:p>
    <w:p w:rsidR="00A818FD" w:rsidRDefault="00A818FD" w:rsidP="00A818FD">
      <w:pPr>
        <w:pStyle w:val="Heading2"/>
        <w:numPr>
          <w:ilvl w:val="0"/>
          <w:numId w:val="0"/>
        </w:numPr>
        <w:ind w:left="567"/>
        <w:rPr>
          <w:szCs w:val="22"/>
        </w:rPr>
      </w:pPr>
    </w:p>
    <w:p w:rsidR="00A818FD" w:rsidRDefault="00CE4B36" w:rsidP="00A818FD">
      <w:pPr>
        <w:pStyle w:val="Heading2"/>
        <w:ind w:left="567" w:hanging="567"/>
        <w:rPr>
          <w:szCs w:val="22"/>
        </w:rPr>
      </w:pPr>
      <w:r>
        <w:t>ЕИСК оценява факта, че предложеният регламент има за основна цел прозрачност на информацията и създаване на подходящ разрешителен режим. Всъщност на регулаторната уредба, предшестваща разглежданите в случая предложения, ѝ липсваше „филтър“ за разрешаване на дейностите, основани на технологията на децентрализирания регистър, както и ефективен надзор върху дейността.</w:t>
      </w:r>
    </w:p>
    <w:p w:rsidR="00D153B6" w:rsidRPr="00D153B6" w:rsidRDefault="00D153B6" w:rsidP="00D1173D"/>
    <w:p w:rsidR="00D153B6" w:rsidRPr="00D153B6" w:rsidRDefault="00D153B6" w:rsidP="00D153B6">
      <w:pPr>
        <w:pStyle w:val="Heading2"/>
        <w:ind w:left="567" w:hanging="567"/>
        <w:rPr>
          <w:szCs w:val="22"/>
        </w:rPr>
      </w:pPr>
      <w:r>
        <w:t>ЕИСК очаква конкретни действия за насърчаване на подходяща информираност и осведоменост на потребителите и дребните инвеститори по отношение на новите правила в процес на приемане, която да показва както рисковете, така и ползите и възможностите, свързани с новите технологии, прилагани в областта на финансите и инвестициите. Целта е да се намали вече типичната за финансовия сектор информационна асиметрия, която има опасност да се отрази неблагоприятно, особено силно и непропорционално върху потребителите и дребните инвеститори по отношение на темите в настоящото становище, които са нови и трудно разбираеми поради присъщото им техническо естество.</w:t>
      </w:r>
    </w:p>
    <w:p w:rsidR="00A818FD" w:rsidRDefault="00A818FD" w:rsidP="00A818FD">
      <w:pPr>
        <w:pStyle w:val="Heading2"/>
        <w:numPr>
          <w:ilvl w:val="0"/>
          <w:numId w:val="0"/>
        </w:numPr>
        <w:ind w:left="567"/>
        <w:rPr>
          <w:szCs w:val="22"/>
        </w:rPr>
      </w:pPr>
    </w:p>
    <w:p w:rsidR="00254D5E" w:rsidRDefault="00CE4B36" w:rsidP="00A818FD">
      <w:pPr>
        <w:pStyle w:val="Heading2"/>
        <w:ind w:left="567" w:hanging="567"/>
      </w:pPr>
      <w:r>
        <w:t>Комитетът препоръчва да се обърне особено внимание на предварителните проверки на решенията за издаване на разрешения, особено що се отнася до предприемаческата надеждност на субектите, притежаващи разрешение, с цел да се избегне опортюнистично и вредно поведение.</w:t>
      </w:r>
    </w:p>
    <w:p w:rsidR="00A818FD" w:rsidRDefault="00A818FD" w:rsidP="00A818FD">
      <w:pPr>
        <w:pStyle w:val="Heading2"/>
        <w:numPr>
          <w:ilvl w:val="0"/>
          <w:numId w:val="0"/>
        </w:numPr>
        <w:ind w:left="567"/>
        <w:rPr>
          <w:szCs w:val="22"/>
        </w:rPr>
      </w:pPr>
    </w:p>
    <w:p w:rsidR="00A818FD" w:rsidRDefault="00CE4B36" w:rsidP="00A818FD">
      <w:pPr>
        <w:pStyle w:val="Heading2"/>
        <w:ind w:left="567" w:hanging="567"/>
        <w:rPr>
          <w:szCs w:val="22"/>
        </w:rPr>
      </w:pPr>
      <w:r>
        <w:t>Всъщност и до днес не съществува такова равнище на стандартизация и оперативна съвместимост на TРР, което да насочва по сигурен начин при оценката на степента на технологична надеждност и киберустойчивост на приетите от операторите инфраструктури. Ето защо е необходимо да се обърне внимание, за да се гарантира високо равнище на защита на потребители и инвеститори.</w:t>
      </w:r>
    </w:p>
    <w:p w:rsidR="000749F1" w:rsidRDefault="000749F1" w:rsidP="00FF4D3D"/>
    <w:p w:rsidR="000749F1" w:rsidRPr="004F5965" w:rsidRDefault="000749F1" w:rsidP="00D74D3A">
      <w:pPr>
        <w:pStyle w:val="Heading2"/>
        <w:ind w:left="567" w:hanging="567"/>
      </w:pPr>
      <w:r>
        <w:t>ЕИСК очаква конкретни стъпки напред по въпроса за оперативната устойчивост на цифровите технологии, предмет на конкретното предложение за Регламент относно оперативната устойчивост на цифровите технологии, което съдържа пакет от действия в областта на цифровите финансови услуги, в който се разглеждат критичните аспекти, показвани от финансовия сектор, и цели изясняване от правна гледна точка на разпоредбите относно рисковете, свързани с информационните и комуникационните технологии (ИКТ), като се намали нормативната сложност и административната тежест за предприятията, както се подчертава н становището на ЕИСК „Оперативна устойчивост на цифровите технологии“</w:t>
      </w:r>
      <w:r w:rsidR="00584A33" w:rsidRPr="004F5965">
        <w:rPr>
          <w:rStyle w:val="FootnoteReference"/>
        </w:rPr>
        <w:footnoteReference w:id="6"/>
      </w:r>
      <w:r>
        <w:t>.</w:t>
      </w:r>
    </w:p>
    <w:p w:rsidR="00A818FD" w:rsidRDefault="00A818FD" w:rsidP="00212ACA">
      <w:pPr>
        <w:pStyle w:val="Heading2"/>
        <w:numPr>
          <w:ilvl w:val="0"/>
          <w:numId w:val="0"/>
        </w:numPr>
        <w:ind w:left="567" w:hanging="567"/>
        <w:rPr>
          <w:szCs w:val="22"/>
        </w:rPr>
      </w:pPr>
    </w:p>
    <w:p w:rsidR="00A818FD" w:rsidRDefault="00CE4B36" w:rsidP="00527D15">
      <w:pPr>
        <w:pStyle w:val="Heading2"/>
        <w:keepNext/>
        <w:keepLines/>
        <w:ind w:left="567" w:hanging="567"/>
        <w:rPr>
          <w:szCs w:val="22"/>
        </w:rPr>
      </w:pPr>
      <w:r>
        <w:t>Във връзка с това Комитетът гледа с доверие на предложението за регламент относно пилотна уредба за пазарните инфраструктури, основани на технологията на разпределения регистър, в което Комисията взема под внимание пазарните инфраструктури, които имат за цел да дадат възможност за търгуване и сетълмент на сделките с финансови инструменти под формата на криптоактиви, определяйки подробно предварителните изисквания и условия за получаването на специално разрешение за управление на многостранна система за търговия, основана на ТРР, и като тези изисквания се поставят в контекста на рамка за наблюдение от страна на секторните органи.</w:t>
      </w:r>
    </w:p>
    <w:p w:rsidR="00A818FD" w:rsidRDefault="00A818FD" w:rsidP="00A818FD">
      <w:pPr>
        <w:pStyle w:val="Heading2"/>
        <w:numPr>
          <w:ilvl w:val="0"/>
          <w:numId w:val="0"/>
        </w:numPr>
        <w:ind w:left="567"/>
        <w:rPr>
          <w:szCs w:val="22"/>
        </w:rPr>
      </w:pPr>
    </w:p>
    <w:p w:rsidR="00A818FD" w:rsidRDefault="00CE4B36" w:rsidP="00A818FD">
      <w:pPr>
        <w:pStyle w:val="Heading2"/>
        <w:ind w:left="567" w:hanging="567"/>
        <w:rPr>
          <w:szCs w:val="22"/>
        </w:rPr>
      </w:pPr>
      <w:r>
        <w:t>Освен това посредством пилотната уредба се взема решение да се работи чрез подход, наречен „sandbox“(опитно поле), като се определя пространство за експериментиране в контролирана среда, която дава възможност за временни дерогации от действащите правила. Този подход ще даде възможност на регулаторните органи и операторите да придобият опит в използването на технологията на разпределения регистър в пазарните инфраструктури, като по този начин се осигури времето, необходимо за подходящо управление на риска за инвеститорите, целостта на пазара и финансовата стабилност.</w:t>
      </w:r>
    </w:p>
    <w:p w:rsidR="00A818FD" w:rsidRDefault="00A818FD" w:rsidP="00A818FD">
      <w:pPr>
        <w:pStyle w:val="Heading2"/>
        <w:numPr>
          <w:ilvl w:val="0"/>
          <w:numId w:val="0"/>
        </w:numPr>
        <w:ind w:left="567"/>
        <w:rPr>
          <w:szCs w:val="22"/>
        </w:rPr>
      </w:pPr>
    </w:p>
    <w:p w:rsidR="00A7500C" w:rsidRDefault="00CE4B36" w:rsidP="00172F16">
      <w:pPr>
        <w:pStyle w:val="Heading2"/>
        <w:ind w:left="567" w:hanging="567"/>
        <w:rPr>
          <w:szCs w:val="22"/>
        </w:rPr>
      </w:pPr>
      <w:r>
        <w:t>Като се приеме пилотната уредба (или „sandbox“), ще може да се следва емпиричен подход, основан на конкретни и временни експерименти, с цел да се пристъпи, на по-късен етап и в светлината на натрупания опит, към по-решително регулаторно адаптиране, без докато тече процесът да се пречи на въвеждането на пълноценно развитие на технологията на разпределения регистър и на иновациите, коeто тази технология ще може да определи. Специално внимание ще трябва да се обърне на фазата на излизане от експериментирането в пилотна уредба, за да се гарантира защита на потребителите и субектите, които са участвали в експериментирането.</w:t>
      </w:r>
    </w:p>
    <w:p w:rsidR="00172F16" w:rsidRPr="00172F16" w:rsidRDefault="00172F16" w:rsidP="00172F16"/>
    <w:p w:rsidR="00254D5E" w:rsidRDefault="00F0153B" w:rsidP="00F0153B">
      <w:pPr>
        <w:pStyle w:val="Heading2"/>
        <w:ind w:left="567" w:hanging="567"/>
      </w:pPr>
      <w:r>
        <w:t>Въпреки че предложението на Комисията относно пилотната уредба е съществено, ЕИСК счита, че 5-годишният срок за доклада на ЕОЦКП пред Комисията е твърде дълъг по отношение на скоростта, с която се развиват технологиите на цифровите финансови услуги.</w:t>
      </w:r>
    </w:p>
    <w:p w:rsidR="003A2FBF" w:rsidRDefault="003A2FBF" w:rsidP="00212ACA">
      <w:pPr>
        <w:pStyle w:val="Heading2"/>
        <w:numPr>
          <w:ilvl w:val="0"/>
          <w:numId w:val="0"/>
        </w:numPr>
        <w:ind w:left="567"/>
        <w:rPr>
          <w:szCs w:val="22"/>
        </w:rPr>
      </w:pPr>
    </w:p>
    <w:p w:rsidR="00254D5E" w:rsidRDefault="00F0153B" w:rsidP="00F0153B">
      <w:pPr>
        <w:pStyle w:val="Heading2"/>
        <w:ind w:left="567" w:hanging="567"/>
      </w:pPr>
      <w:r>
        <w:t>Освен това следва да бъде разгледана възможността да се сложи край на пилотната уредба след доклада на ЕОЦКП, като се въведе постепенен преходен период, който да даде възможност на операторите да напуснат поетапно пилотната уредба, като възстановят във възможно най-голяма степен направените за експериментирането разходи. Освен това Комитетът счита, че моделът на пилотната уредба може да бъде приложен и за признаване на ролята на инвестиционните посредници и банките, които извършват дейности, свързани с функционирането на инфраструктурите на ТРР за услуги за търговия, както и за попечителство и администриране на ценните книжа.</w:t>
      </w:r>
    </w:p>
    <w:p w:rsidR="00A7500C" w:rsidRPr="00A7500C" w:rsidRDefault="00A7500C" w:rsidP="00212ACA"/>
    <w:p w:rsidR="00254D5E" w:rsidRDefault="00D26714" w:rsidP="00D26714">
      <w:pPr>
        <w:pStyle w:val="Heading2"/>
        <w:ind w:left="567" w:hanging="567"/>
      </w:pPr>
      <w:r>
        <w:t>И накрая, по отношение на цялостното прилагане на Регламента относно ПКА, ЕИСК не може да не изрази сериозна загриженост във връзка с „преходния режим“, който предвижда постоянно освобождаване от спазване на разпоредбите на регламента относно ПКА за криптоактивите, които вече са налични на пазара преди влизането в сила на регламента, и които попадат в остатъчната категория „криптоактиви, различни от токени, обезпечени с активи, или от токени за електронни пари“ (член 123).</w:t>
      </w:r>
    </w:p>
    <w:p w:rsidR="003A2FBF" w:rsidRDefault="003A2FBF" w:rsidP="00212ACA">
      <w:pPr>
        <w:pStyle w:val="Heading2"/>
        <w:numPr>
          <w:ilvl w:val="0"/>
          <w:numId w:val="0"/>
        </w:numPr>
        <w:ind w:left="567"/>
        <w:rPr>
          <w:szCs w:val="22"/>
        </w:rPr>
      </w:pPr>
    </w:p>
    <w:p w:rsidR="00D26714" w:rsidRDefault="003A2FBF" w:rsidP="00D26714">
      <w:pPr>
        <w:pStyle w:val="Heading2"/>
        <w:ind w:left="567" w:hanging="567"/>
        <w:rPr>
          <w:szCs w:val="22"/>
        </w:rPr>
      </w:pPr>
      <w:r>
        <w:t>Ето защо Комитетът призовава да бъде преценена внимателно възможността вече емитирани криптоактиви да се възползват постоянно от това освобождаване, за да не се нарушава спазването на принципа на равно третиране, при който за „еднакъв риск и еднаква дейност се прилага еднакво третиране“. Всъщност би било по-подходящо въпросната разпоредба да се направи действително преходна, като се установи срок за адаптиране за криптоактивите от тази категория, които вече са налични на пазара.</w:t>
      </w:r>
    </w:p>
    <w:p w:rsidR="00A818FD" w:rsidRDefault="00A818FD" w:rsidP="00A818FD"/>
    <w:p w:rsidR="006D7AB9" w:rsidRDefault="00DA7705" w:rsidP="00A818FD">
      <w:r>
        <w:t>Брюксел, 24 февруари 2021 г.</w:t>
      </w:r>
    </w:p>
    <w:p w:rsidR="006D7AB9" w:rsidRDefault="006D7AB9" w:rsidP="00A818FD"/>
    <w:p w:rsidR="00DA7705" w:rsidRDefault="00DA7705" w:rsidP="00A818FD"/>
    <w:p w:rsidR="00DA7705" w:rsidRDefault="00DA7705" w:rsidP="00A818FD"/>
    <w:p w:rsidR="00242995" w:rsidRDefault="00242995" w:rsidP="00A818FD"/>
    <w:p w:rsidR="006D7AB9" w:rsidRPr="001923AD" w:rsidRDefault="000D75F3" w:rsidP="006D7AB9">
      <w:r>
        <w:t>Christa Schweng,</w:t>
      </w:r>
    </w:p>
    <w:p w:rsidR="00254D5E" w:rsidRDefault="006D7AB9" w:rsidP="006D7AB9">
      <w:r>
        <w:t>председател на Европейския икономически и социален комитет</w:t>
      </w:r>
    </w:p>
    <w:p w:rsidR="00BF4454" w:rsidRPr="00A818FD" w:rsidRDefault="00BF4454" w:rsidP="00A818FD"/>
    <w:p w:rsidR="00F0153B" w:rsidRPr="00730208" w:rsidRDefault="00CE4B36">
      <w:pPr>
        <w:overflowPunct/>
        <w:adjustRightInd/>
        <w:jc w:val="center"/>
        <w:textAlignment w:val="auto"/>
      </w:pPr>
      <w:r>
        <w:t>_____________</w:t>
      </w:r>
    </w:p>
    <w:sectPr w:rsidR="00F0153B" w:rsidRPr="00730208" w:rsidSect="00E64BD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E2C" w:rsidRDefault="00E46E2C">
      <w:r>
        <w:separator/>
      </w:r>
    </w:p>
  </w:endnote>
  <w:endnote w:type="continuationSeparator" w:id="0">
    <w:p w:rsidR="00E46E2C" w:rsidRDefault="00E46E2C">
      <w:r>
        <w:continuationSeparator/>
      </w:r>
    </w:p>
  </w:endnote>
  <w:endnote w:type="continuationNotice" w:id="1">
    <w:p w:rsidR="00E46E2C" w:rsidRDefault="00E46E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E64BDE" w:rsidRDefault="00E64BDE" w:rsidP="00E64BDE">
    <w:pPr>
      <w:pStyle w:val="Footer"/>
    </w:pPr>
    <w:r>
      <w:t xml:space="preserve">ECO/535 – EESC-2020-04982-00-00-AC-TRA (IT) </w:t>
    </w:r>
    <w:r>
      <w:fldChar w:fldCharType="begin"/>
    </w:r>
    <w:r>
      <w:instrText xml:space="preserve"> PAGE  \* Arabic  \* MERGEFORMAT </w:instrText>
    </w:r>
    <w:r>
      <w:fldChar w:fldCharType="separate"/>
    </w:r>
    <w:r w:rsidR="003B3B96">
      <w:rPr>
        <w:noProof/>
      </w:rPr>
      <w:t>1</w:t>
    </w:r>
    <w:r>
      <w:fldChar w:fldCharType="end"/>
    </w:r>
    <w:r>
      <w:t>/</w:t>
    </w:r>
    <w:r w:rsidR="003B3B96">
      <w:fldChar w:fldCharType="begin"/>
    </w:r>
    <w:r w:rsidR="003B3B96">
      <w:instrText xml:space="preserve"> NUMPAGES </w:instrText>
    </w:r>
    <w:r w:rsidR="003B3B96">
      <w:fldChar w:fldCharType="separate"/>
    </w:r>
    <w:r w:rsidR="003B3B96">
      <w:rPr>
        <w:noProof/>
      </w:rPr>
      <w:t>13</w:t>
    </w:r>
    <w:r w:rsidR="003B3B9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D3D" w:rsidRPr="00E64BDE" w:rsidRDefault="00FF4D3D" w:rsidP="00E64B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D3D" w:rsidRPr="00E64BDE" w:rsidRDefault="00E64BDE" w:rsidP="00E64BDE">
    <w:pPr>
      <w:pStyle w:val="Footer"/>
    </w:pPr>
    <w:r>
      <w:t xml:space="preserve">ECO/535 – EESC-2020-04982-00-00-AC-TRA (IT) </w:t>
    </w:r>
    <w:r>
      <w:fldChar w:fldCharType="begin"/>
    </w:r>
    <w:r>
      <w:instrText xml:space="preserve"> PAGE  \* Arabic  \* MERGEFORMAT </w:instrText>
    </w:r>
    <w:r>
      <w:fldChar w:fldCharType="separate"/>
    </w:r>
    <w:r w:rsidR="003B3B96">
      <w:rPr>
        <w:noProof/>
      </w:rPr>
      <w:t>13</w:t>
    </w:r>
    <w:r>
      <w:fldChar w:fldCharType="end"/>
    </w:r>
    <w:r>
      <w:t>/</w:t>
    </w:r>
    <w:r w:rsidR="003B3B96">
      <w:fldChar w:fldCharType="begin"/>
    </w:r>
    <w:r w:rsidR="003B3B96">
      <w:instrText xml:space="preserve"> NUMPAGES </w:instrText>
    </w:r>
    <w:r w:rsidR="003B3B96">
      <w:fldChar w:fldCharType="separate"/>
    </w:r>
    <w:r w:rsidR="003B3B96">
      <w:rPr>
        <w:noProof/>
      </w:rPr>
      <w:t>13</w:t>
    </w:r>
    <w:r w:rsidR="003B3B9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D3D" w:rsidRPr="00E64BDE" w:rsidRDefault="00FF4D3D" w:rsidP="00E64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E2C" w:rsidRDefault="00E46E2C">
      <w:r>
        <w:separator/>
      </w:r>
    </w:p>
  </w:footnote>
  <w:footnote w:type="continuationSeparator" w:id="0">
    <w:p w:rsidR="00E46E2C" w:rsidRDefault="00E46E2C">
      <w:r>
        <w:continuationSeparator/>
      </w:r>
    </w:p>
  </w:footnote>
  <w:footnote w:type="continuationNotice" w:id="1">
    <w:p w:rsidR="00E46E2C" w:rsidRDefault="00E46E2C">
      <w:pPr>
        <w:spacing w:line="240" w:lineRule="auto"/>
      </w:pPr>
    </w:p>
  </w:footnote>
  <w:footnote w:id="2">
    <w:p w:rsidR="00533CB4" w:rsidRPr="00B00400" w:rsidRDefault="00533CB4" w:rsidP="00533CB4">
      <w:pPr>
        <w:pStyle w:val="FootnoteText"/>
        <w:ind w:left="567" w:hanging="567"/>
      </w:pPr>
      <w:r>
        <w:rPr>
          <w:rStyle w:val="FootnoteReference"/>
        </w:rPr>
        <w:footnoteRef/>
      </w:r>
      <w:r>
        <w:tab/>
        <w:t xml:space="preserve">Становище на ЕИСК относно </w:t>
      </w:r>
      <w:hyperlink r:id="rId1" w:history="1">
        <w:r>
          <w:rPr>
            <w:rStyle w:val="Hyperlink"/>
            <w:i/>
          </w:rPr>
          <w:t>Стратегия за цифровизиране на финансовите услуги</w:t>
        </w:r>
      </w:hyperlink>
      <w:r>
        <w:t xml:space="preserve"> (ECO/534), все още непубликувано.</w:t>
      </w:r>
    </w:p>
  </w:footnote>
  <w:footnote w:id="3">
    <w:p w:rsidR="00584A33" w:rsidRPr="00212ACA" w:rsidRDefault="00584A33" w:rsidP="00584A33">
      <w:pPr>
        <w:pStyle w:val="FootnoteText"/>
        <w:ind w:left="567" w:hanging="567"/>
      </w:pPr>
      <w:r>
        <w:rPr>
          <w:rStyle w:val="FootnoteReference"/>
        </w:rPr>
        <w:footnoteRef/>
      </w:r>
      <w:r>
        <w:tab/>
        <w:t xml:space="preserve">Становище на ЕИСК относно </w:t>
      </w:r>
      <w:hyperlink r:id="rId2" w:history="1">
        <w:r>
          <w:rPr>
            <w:rStyle w:val="Hyperlink"/>
            <w:i/>
          </w:rPr>
          <w:t>Оперативна устойчивост на цифровите технологии“</w:t>
        </w:r>
      </w:hyperlink>
      <w:r>
        <w:t xml:space="preserve"> (ECO/536), все още непубликувано.</w:t>
      </w:r>
    </w:p>
  </w:footnote>
  <w:footnote w:id="4">
    <w:p w:rsidR="00851EA9" w:rsidRPr="00212ACA" w:rsidRDefault="00851EA9" w:rsidP="00A642FB">
      <w:pPr>
        <w:pStyle w:val="FootnoteText"/>
        <w:ind w:left="567" w:hanging="567"/>
      </w:pPr>
      <w:r>
        <w:rPr>
          <w:rStyle w:val="FootnoteReference"/>
        </w:rPr>
        <w:footnoteRef/>
      </w:r>
      <w:r>
        <w:tab/>
        <w:t>Европейски банков орган.</w:t>
      </w:r>
    </w:p>
  </w:footnote>
  <w:footnote w:id="5">
    <w:p w:rsidR="00851EA9" w:rsidRPr="00212ACA" w:rsidRDefault="00851EA9" w:rsidP="00A642FB">
      <w:pPr>
        <w:pStyle w:val="FootnoteText"/>
        <w:ind w:left="567" w:hanging="567"/>
      </w:pPr>
      <w:r>
        <w:rPr>
          <w:rStyle w:val="FootnoteReference"/>
        </w:rPr>
        <w:footnoteRef/>
      </w:r>
      <w:r>
        <w:tab/>
        <w:t>Европейски орган за ценни книжа и пазари.</w:t>
      </w:r>
    </w:p>
  </w:footnote>
  <w:footnote w:id="6">
    <w:p w:rsidR="00584A33" w:rsidRPr="00212ACA" w:rsidRDefault="00584A33" w:rsidP="00584A33">
      <w:pPr>
        <w:pStyle w:val="FootnoteText"/>
        <w:ind w:left="567" w:hanging="567"/>
      </w:pPr>
      <w:r>
        <w:rPr>
          <w:rStyle w:val="FootnoteReference"/>
        </w:rPr>
        <w:footnoteRef/>
      </w:r>
      <w:r>
        <w:tab/>
        <w:t xml:space="preserve">Становище на ЕИСК относно </w:t>
      </w:r>
      <w:hyperlink r:id="rId3" w:history="1">
        <w:r>
          <w:rPr>
            <w:rStyle w:val="Hyperlink"/>
            <w:i/>
          </w:rPr>
          <w:t>Оперативна устойчивост на цифровите технологии“</w:t>
        </w:r>
      </w:hyperlink>
      <w:r>
        <w:t xml:space="preserve"> (ECO/536), все още непубликувано.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D3D" w:rsidRPr="00E64BDE" w:rsidRDefault="00FF4D3D" w:rsidP="00E64B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D3D" w:rsidRPr="00E64BDE" w:rsidRDefault="00FF4D3D" w:rsidP="00E64B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D3D" w:rsidRPr="00E64BDE" w:rsidRDefault="00FF4D3D" w:rsidP="00E64B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ABB0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57D7224"/>
    <w:multiLevelType w:val="hybridMultilevel"/>
    <w:tmpl w:val="32786C54"/>
    <w:lvl w:ilvl="0" w:tplc="0809000F">
      <w:start w:val="1"/>
      <w:numFmt w:val="decimal"/>
      <w:lvlText w:val="%1."/>
      <w:lvlJc w:val="left"/>
      <w:pPr>
        <w:ind w:left="1077" w:hanging="360"/>
      </w:pPr>
      <w:rPr>
        <w:rFont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63A801F3"/>
    <w:multiLevelType w:val="hybridMultilevel"/>
    <w:tmpl w:val="F77C0350"/>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3"/>
  </w:num>
  <w:num w:numId="72">
    <w:abstractNumId w:val="4"/>
  </w:num>
  <w:num w:numId="73">
    <w:abstractNumId w:val="0"/>
  </w:num>
  <w:num w:numId="74">
    <w:abstractNumId w:val="2"/>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158F7"/>
    <w:rsid w:val="00020E6E"/>
    <w:rsid w:val="00031A4B"/>
    <w:rsid w:val="00033913"/>
    <w:rsid w:val="00033E5B"/>
    <w:rsid w:val="000357A8"/>
    <w:rsid w:val="000430A6"/>
    <w:rsid w:val="00044923"/>
    <w:rsid w:val="0005249C"/>
    <w:rsid w:val="000534A5"/>
    <w:rsid w:val="0005680D"/>
    <w:rsid w:val="00063FB4"/>
    <w:rsid w:val="00064E18"/>
    <w:rsid w:val="0006793E"/>
    <w:rsid w:val="00072E0F"/>
    <w:rsid w:val="000735E5"/>
    <w:rsid w:val="0007392F"/>
    <w:rsid w:val="000749F1"/>
    <w:rsid w:val="00076997"/>
    <w:rsid w:val="000808AE"/>
    <w:rsid w:val="00087B39"/>
    <w:rsid w:val="00092957"/>
    <w:rsid w:val="00096502"/>
    <w:rsid w:val="000A43D0"/>
    <w:rsid w:val="000A49BB"/>
    <w:rsid w:val="000C3441"/>
    <w:rsid w:val="000C7F53"/>
    <w:rsid w:val="000D2F8E"/>
    <w:rsid w:val="000D6514"/>
    <w:rsid w:val="000D75F3"/>
    <w:rsid w:val="000D7FA7"/>
    <w:rsid w:val="000E0C4A"/>
    <w:rsid w:val="000E7036"/>
    <w:rsid w:val="000F196B"/>
    <w:rsid w:val="00100A46"/>
    <w:rsid w:val="00105361"/>
    <w:rsid w:val="001101F8"/>
    <w:rsid w:val="0011206F"/>
    <w:rsid w:val="0011656A"/>
    <w:rsid w:val="0012220C"/>
    <w:rsid w:val="00136EA3"/>
    <w:rsid w:val="00137575"/>
    <w:rsid w:val="00140835"/>
    <w:rsid w:val="00144231"/>
    <w:rsid w:val="00150434"/>
    <w:rsid w:val="00152CCD"/>
    <w:rsid w:val="00155721"/>
    <w:rsid w:val="00164D5B"/>
    <w:rsid w:val="0016503F"/>
    <w:rsid w:val="0016674F"/>
    <w:rsid w:val="00167CA0"/>
    <w:rsid w:val="0017120D"/>
    <w:rsid w:val="001714F6"/>
    <w:rsid w:val="00172F16"/>
    <w:rsid w:val="00173328"/>
    <w:rsid w:val="0017513C"/>
    <w:rsid w:val="00176168"/>
    <w:rsid w:val="00177158"/>
    <w:rsid w:val="001808A5"/>
    <w:rsid w:val="001832D7"/>
    <w:rsid w:val="00184FD4"/>
    <w:rsid w:val="00186B04"/>
    <w:rsid w:val="00186F1E"/>
    <w:rsid w:val="00190836"/>
    <w:rsid w:val="00190CEE"/>
    <w:rsid w:val="00193930"/>
    <w:rsid w:val="001963A5"/>
    <w:rsid w:val="00196F1E"/>
    <w:rsid w:val="00197FCA"/>
    <w:rsid w:val="001A27DB"/>
    <w:rsid w:val="001A364E"/>
    <w:rsid w:val="001A6852"/>
    <w:rsid w:val="001A7D4F"/>
    <w:rsid w:val="001B286A"/>
    <w:rsid w:val="001B2D02"/>
    <w:rsid w:val="001B3647"/>
    <w:rsid w:val="001B4A5D"/>
    <w:rsid w:val="001B77FA"/>
    <w:rsid w:val="001C0ABE"/>
    <w:rsid w:val="001C31A5"/>
    <w:rsid w:val="001C5852"/>
    <w:rsid w:val="001D45F0"/>
    <w:rsid w:val="001E2D37"/>
    <w:rsid w:val="001E4A33"/>
    <w:rsid w:val="001E5C27"/>
    <w:rsid w:val="001F602B"/>
    <w:rsid w:val="001F6AC8"/>
    <w:rsid w:val="002037D5"/>
    <w:rsid w:val="002068F6"/>
    <w:rsid w:val="00206F90"/>
    <w:rsid w:val="0021029D"/>
    <w:rsid w:val="0021136A"/>
    <w:rsid w:val="00212ACA"/>
    <w:rsid w:val="00212B03"/>
    <w:rsid w:val="00212F05"/>
    <w:rsid w:val="002131AE"/>
    <w:rsid w:val="0021495B"/>
    <w:rsid w:val="00215C10"/>
    <w:rsid w:val="00215C2D"/>
    <w:rsid w:val="00217D57"/>
    <w:rsid w:val="002250A3"/>
    <w:rsid w:val="002252C4"/>
    <w:rsid w:val="0023183E"/>
    <w:rsid w:val="00235138"/>
    <w:rsid w:val="002377D4"/>
    <w:rsid w:val="00242995"/>
    <w:rsid w:val="00243E36"/>
    <w:rsid w:val="0024540B"/>
    <w:rsid w:val="00245EF4"/>
    <w:rsid w:val="00247889"/>
    <w:rsid w:val="00250E11"/>
    <w:rsid w:val="00251383"/>
    <w:rsid w:val="002522C9"/>
    <w:rsid w:val="00252A21"/>
    <w:rsid w:val="00253E4F"/>
    <w:rsid w:val="002542E4"/>
    <w:rsid w:val="00254D5E"/>
    <w:rsid w:val="00261053"/>
    <w:rsid w:val="00261F2D"/>
    <w:rsid w:val="0026283D"/>
    <w:rsid w:val="00262FDE"/>
    <w:rsid w:val="00263629"/>
    <w:rsid w:val="002769BD"/>
    <w:rsid w:val="00276A75"/>
    <w:rsid w:val="002809EA"/>
    <w:rsid w:val="00284962"/>
    <w:rsid w:val="002863B9"/>
    <w:rsid w:val="00287B0E"/>
    <w:rsid w:val="002A076C"/>
    <w:rsid w:val="002A0B53"/>
    <w:rsid w:val="002A0EEF"/>
    <w:rsid w:val="002A1134"/>
    <w:rsid w:val="002B2DF7"/>
    <w:rsid w:val="002C3BF4"/>
    <w:rsid w:val="002C749F"/>
    <w:rsid w:val="002D1723"/>
    <w:rsid w:val="002D64F3"/>
    <w:rsid w:val="002E7B33"/>
    <w:rsid w:val="002F059B"/>
    <w:rsid w:val="002F5B0B"/>
    <w:rsid w:val="00300924"/>
    <w:rsid w:val="0030596E"/>
    <w:rsid w:val="00307048"/>
    <w:rsid w:val="003073C3"/>
    <w:rsid w:val="003100A3"/>
    <w:rsid w:val="00310BB2"/>
    <w:rsid w:val="00310F29"/>
    <w:rsid w:val="003139ED"/>
    <w:rsid w:val="00315E23"/>
    <w:rsid w:val="00323637"/>
    <w:rsid w:val="00324E8A"/>
    <w:rsid w:val="00331D87"/>
    <w:rsid w:val="00332850"/>
    <w:rsid w:val="00334478"/>
    <w:rsid w:val="003346B4"/>
    <w:rsid w:val="00334AE6"/>
    <w:rsid w:val="003365D0"/>
    <w:rsid w:val="003439AB"/>
    <w:rsid w:val="0034708F"/>
    <w:rsid w:val="0035034C"/>
    <w:rsid w:val="00354695"/>
    <w:rsid w:val="0035549B"/>
    <w:rsid w:val="00363395"/>
    <w:rsid w:val="003755C8"/>
    <w:rsid w:val="00375687"/>
    <w:rsid w:val="00380AE0"/>
    <w:rsid w:val="00383324"/>
    <w:rsid w:val="00387349"/>
    <w:rsid w:val="00387A75"/>
    <w:rsid w:val="003904FD"/>
    <w:rsid w:val="0039359C"/>
    <w:rsid w:val="00394254"/>
    <w:rsid w:val="0039444E"/>
    <w:rsid w:val="003A22D4"/>
    <w:rsid w:val="003A2FBF"/>
    <w:rsid w:val="003B3B96"/>
    <w:rsid w:val="003B40B9"/>
    <w:rsid w:val="003C2BFB"/>
    <w:rsid w:val="003C436B"/>
    <w:rsid w:val="003C5337"/>
    <w:rsid w:val="003C5F92"/>
    <w:rsid w:val="003D7971"/>
    <w:rsid w:val="003D7A8C"/>
    <w:rsid w:val="003D7C00"/>
    <w:rsid w:val="003E450A"/>
    <w:rsid w:val="003E56E5"/>
    <w:rsid w:val="003E7E60"/>
    <w:rsid w:val="003F00D4"/>
    <w:rsid w:val="003F2209"/>
    <w:rsid w:val="003F3D39"/>
    <w:rsid w:val="003F646A"/>
    <w:rsid w:val="003F6761"/>
    <w:rsid w:val="003F6A0A"/>
    <w:rsid w:val="004024F5"/>
    <w:rsid w:val="00402DE1"/>
    <w:rsid w:val="00403D8B"/>
    <w:rsid w:val="004058F1"/>
    <w:rsid w:val="00406686"/>
    <w:rsid w:val="00407455"/>
    <w:rsid w:val="00407E7D"/>
    <w:rsid w:val="0041283D"/>
    <w:rsid w:val="004130F7"/>
    <w:rsid w:val="00413AB4"/>
    <w:rsid w:val="0041681F"/>
    <w:rsid w:val="00421373"/>
    <w:rsid w:val="00421FB7"/>
    <w:rsid w:val="0042763B"/>
    <w:rsid w:val="0043024C"/>
    <w:rsid w:val="00432B1C"/>
    <w:rsid w:val="00436706"/>
    <w:rsid w:val="00443D38"/>
    <w:rsid w:val="00450E7A"/>
    <w:rsid w:val="00456AF8"/>
    <w:rsid w:val="0046665C"/>
    <w:rsid w:val="00470B15"/>
    <w:rsid w:val="00470F0D"/>
    <w:rsid w:val="004733B1"/>
    <w:rsid w:val="0047352C"/>
    <w:rsid w:val="00475869"/>
    <w:rsid w:val="00475A77"/>
    <w:rsid w:val="00481D52"/>
    <w:rsid w:val="004866A9"/>
    <w:rsid w:val="004917B8"/>
    <w:rsid w:val="00492774"/>
    <w:rsid w:val="00496D7A"/>
    <w:rsid w:val="004A1D6C"/>
    <w:rsid w:val="004A31BC"/>
    <w:rsid w:val="004A3F1A"/>
    <w:rsid w:val="004A3F45"/>
    <w:rsid w:val="004B1AFA"/>
    <w:rsid w:val="004B7088"/>
    <w:rsid w:val="004C08F6"/>
    <w:rsid w:val="004C4812"/>
    <w:rsid w:val="004C4BF1"/>
    <w:rsid w:val="004C4D12"/>
    <w:rsid w:val="004C5B76"/>
    <w:rsid w:val="004D02CD"/>
    <w:rsid w:val="004D0B24"/>
    <w:rsid w:val="004D4B90"/>
    <w:rsid w:val="004D6B95"/>
    <w:rsid w:val="004D7F41"/>
    <w:rsid w:val="004E03A2"/>
    <w:rsid w:val="004E317E"/>
    <w:rsid w:val="004E3954"/>
    <w:rsid w:val="004E52B4"/>
    <w:rsid w:val="004E5856"/>
    <w:rsid w:val="004F0D41"/>
    <w:rsid w:val="004F2330"/>
    <w:rsid w:val="004F53C6"/>
    <w:rsid w:val="004F55C6"/>
    <w:rsid w:val="004F5965"/>
    <w:rsid w:val="004F69DB"/>
    <w:rsid w:val="004F6B87"/>
    <w:rsid w:val="00501C2D"/>
    <w:rsid w:val="00502637"/>
    <w:rsid w:val="00511140"/>
    <w:rsid w:val="00513CFE"/>
    <w:rsid w:val="005200E9"/>
    <w:rsid w:val="00523B6A"/>
    <w:rsid w:val="00525F6C"/>
    <w:rsid w:val="00527232"/>
    <w:rsid w:val="00527D15"/>
    <w:rsid w:val="00527FC1"/>
    <w:rsid w:val="005317F4"/>
    <w:rsid w:val="00533CB4"/>
    <w:rsid w:val="00536D78"/>
    <w:rsid w:val="00546AB4"/>
    <w:rsid w:val="005514E5"/>
    <w:rsid w:val="005609A3"/>
    <w:rsid w:val="00563C84"/>
    <w:rsid w:val="00563D6F"/>
    <w:rsid w:val="005709F1"/>
    <w:rsid w:val="005762F6"/>
    <w:rsid w:val="00584A33"/>
    <w:rsid w:val="00584FBE"/>
    <w:rsid w:val="00585483"/>
    <w:rsid w:val="00587378"/>
    <w:rsid w:val="00587C05"/>
    <w:rsid w:val="00590295"/>
    <w:rsid w:val="00590AAB"/>
    <w:rsid w:val="005938C3"/>
    <w:rsid w:val="0059468C"/>
    <w:rsid w:val="00595125"/>
    <w:rsid w:val="00596F21"/>
    <w:rsid w:val="005A6175"/>
    <w:rsid w:val="005B1CDD"/>
    <w:rsid w:val="005B1E19"/>
    <w:rsid w:val="005B20AB"/>
    <w:rsid w:val="005B4CDF"/>
    <w:rsid w:val="005B55FC"/>
    <w:rsid w:val="005C2D5E"/>
    <w:rsid w:val="005C3B81"/>
    <w:rsid w:val="005C61D3"/>
    <w:rsid w:val="005C650C"/>
    <w:rsid w:val="005D086C"/>
    <w:rsid w:val="005D11D3"/>
    <w:rsid w:val="005D4E1F"/>
    <w:rsid w:val="005D4FB3"/>
    <w:rsid w:val="005E2F07"/>
    <w:rsid w:val="005E2FEA"/>
    <w:rsid w:val="005E43D3"/>
    <w:rsid w:val="005E5F43"/>
    <w:rsid w:val="005F07E3"/>
    <w:rsid w:val="005F314B"/>
    <w:rsid w:val="005F5081"/>
    <w:rsid w:val="00610527"/>
    <w:rsid w:val="00611AF2"/>
    <w:rsid w:val="0061212B"/>
    <w:rsid w:val="006127AF"/>
    <w:rsid w:val="00613262"/>
    <w:rsid w:val="00613A98"/>
    <w:rsid w:val="00615FB2"/>
    <w:rsid w:val="00617BD1"/>
    <w:rsid w:val="00617CE8"/>
    <w:rsid w:val="00622F02"/>
    <w:rsid w:val="006278A0"/>
    <w:rsid w:val="0063095F"/>
    <w:rsid w:val="00630C0C"/>
    <w:rsid w:val="00631CBD"/>
    <w:rsid w:val="006346CA"/>
    <w:rsid w:val="00636FEF"/>
    <w:rsid w:val="0063704F"/>
    <w:rsid w:val="00646AC2"/>
    <w:rsid w:val="00650390"/>
    <w:rsid w:val="0065193B"/>
    <w:rsid w:val="006529E1"/>
    <w:rsid w:val="00654DAB"/>
    <w:rsid w:val="0065630D"/>
    <w:rsid w:val="0066204A"/>
    <w:rsid w:val="00670E3C"/>
    <w:rsid w:val="006744C2"/>
    <w:rsid w:val="00677F57"/>
    <w:rsid w:val="00681088"/>
    <w:rsid w:val="0069577E"/>
    <w:rsid w:val="0069634B"/>
    <w:rsid w:val="00696623"/>
    <w:rsid w:val="006A04E9"/>
    <w:rsid w:val="006A4A03"/>
    <w:rsid w:val="006A7543"/>
    <w:rsid w:val="006B725C"/>
    <w:rsid w:val="006C273D"/>
    <w:rsid w:val="006C2DB7"/>
    <w:rsid w:val="006C46F7"/>
    <w:rsid w:val="006C5C4F"/>
    <w:rsid w:val="006C6282"/>
    <w:rsid w:val="006C7035"/>
    <w:rsid w:val="006C762A"/>
    <w:rsid w:val="006D1EBF"/>
    <w:rsid w:val="006D5FF9"/>
    <w:rsid w:val="006D6D9B"/>
    <w:rsid w:val="006D7AB9"/>
    <w:rsid w:val="006E01D6"/>
    <w:rsid w:val="006E0772"/>
    <w:rsid w:val="006E0F86"/>
    <w:rsid w:val="006F0B15"/>
    <w:rsid w:val="006F0DCC"/>
    <w:rsid w:val="00703DF9"/>
    <w:rsid w:val="007048EB"/>
    <w:rsid w:val="00704FBB"/>
    <w:rsid w:val="0070726A"/>
    <w:rsid w:val="00711659"/>
    <w:rsid w:val="0071226B"/>
    <w:rsid w:val="00717040"/>
    <w:rsid w:val="00730208"/>
    <w:rsid w:val="00736DFD"/>
    <w:rsid w:val="007622A7"/>
    <w:rsid w:val="007750A2"/>
    <w:rsid w:val="00777B7D"/>
    <w:rsid w:val="007817D6"/>
    <w:rsid w:val="00781E1C"/>
    <w:rsid w:val="00785578"/>
    <w:rsid w:val="00787912"/>
    <w:rsid w:val="0079177A"/>
    <w:rsid w:val="00791E8F"/>
    <w:rsid w:val="00794836"/>
    <w:rsid w:val="007948D5"/>
    <w:rsid w:val="00795344"/>
    <w:rsid w:val="007A15C9"/>
    <w:rsid w:val="007A6676"/>
    <w:rsid w:val="007B6B96"/>
    <w:rsid w:val="007B7FF5"/>
    <w:rsid w:val="007C3FC6"/>
    <w:rsid w:val="007C6015"/>
    <w:rsid w:val="007D2CE9"/>
    <w:rsid w:val="007D4FED"/>
    <w:rsid w:val="007D69DA"/>
    <w:rsid w:val="007D70B1"/>
    <w:rsid w:val="007D7140"/>
    <w:rsid w:val="007E1CDB"/>
    <w:rsid w:val="007E408C"/>
    <w:rsid w:val="007E7E21"/>
    <w:rsid w:val="007F0460"/>
    <w:rsid w:val="007F0DA2"/>
    <w:rsid w:val="007F39CE"/>
    <w:rsid w:val="007F5E0D"/>
    <w:rsid w:val="00801085"/>
    <w:rsid w:val="00801A89"/>
    <w:rsid w:val="008056D4"/>
    <w:rsid w:val="00812138"/>
    <w:rsid w:val="00812B94"/>
    <w:rsid w:val="008151F2"/>
    <w:rsid w:val="0081777A"/>
    <w:rsid w:val="008210E0"/>
    <w:rsid w:val="00824079"/>
    <w:rsid w:val="00831F0A"/>
    <w:rsid w:val="00832200"/>
    <w:rsid w:val="00833A78"/>
    <w:rsid w:val="00836268"/>
    <w:rsid w:val="0084585F"/>
    <w:rsid w:val="00851EA9"/>
    <w:rsid w:val="00853E53"/>
    <w:rsid w:val="0085535C"/>
    <w:rsid w:val="00864D76"/>
    <w:rsid w:val="00864E58"/>
    <w:rsid w:val="008656C9"/>
    <w:rsid w:val="00866253"/>
    <w:rsid w:val="0086711C"/>
    <w:rsid w:val="00867535"/>
    <w:rsid w:val="0087423A"/>
    <w:rsid w:val="00875C5B"/>
    <w:rsid w:val="00883C5F"/>
    <w:rsid w:val="00891BDF"/>
    <w:rsid w:val="00891C7D"/>
    <w:rsid w:val="00892FA7"/>
    <w:rsid w:val="008954FB"/>
    <w:rsid w:val="008A3301"/>
    <w:rsid w:val="008A4DF1"/>
    <w:rsid w:val="008A5636"/>
    <w:rsid w:val="008B125E"/>
    <w:rsid w:val="008B2198"/>
    <w:rsid w:val="008B241C"/>
    <w:rsid w:val="008B408B"/>
    <w:rsid w:val="008B4F11"/>
    <w:rsid w:val="008C2362"/>
    <w:rsid w:val="008C3049"/>
    <w:rsid w:val="008C6DE0"/>
    <w:rsid w:val="008C7356"/>
    <w:rsid w:val="008D4AE9"/>
    <w:rsid w:val="008D5CF3"/>
    <w:rsid w:val="008D7D39"/>
    <w:rsid w:val="008E4574"/>
    <w:rsid w:val="008E5959"/>
    <w:rsid w:val="008E631E"/>
    <w:rsid w:val="008F4016"/>
    <w:rsid w:val="008F42FE"/>
    <w:rsid w:val="008F4A00"/>
    <w:rsid w:val="008F5402"/>
    <w:rsid w:val="008F61BC"/>
    <w:rsid w:val="0090053A"/>
    <w:rsid w:val="0090180B"/>
    <w:rsid w:val="00901C2A"/>
    <w:rsid w:val="009042EA"/>
    <w:rsid w:val="009118C7"/>
    <w:rsid w:val="00916E7D"/>
    <w:rsid w:val="00917169"/>
    <w:rsid w:val="009225B6"/>
    <w:rsid w:val="00925397"/>
    <w:rsid w:val="00933A21"/>
    <w:rsid w:val="00934C10"/>
    <w:rsid w:val="0093662A"/>
    <w:rsid w:val="0094060C"/>
    <w:rsid w:val="009419A6"/>
    <w:rsid w:val="00942C4B"/>
    <w:rsid w:val="00944196"/>
    <w:rsid w:val="009606A5"/>
    <w:rsid w:val="00962F1F"/>
    <w:rsid w:val="00965304"/>
    <w:rsid w:val="00966540"/>
    <w:rsid w:val="00967374"/>
    <w:rsid w:val="0097046F"/>
    <w:rsid w:val="00971293"/>
    <w:rsid w:val="00971D16"/>
    <w:rsid w:val="00973A3B"/>
    <w:rsid w:val="00983EAE"/>
    <w:rsid w:val="00984B46"/>
    <w:rsid w:val="0098760B"/>
    <w:rsid w:val="009A09EA"/>
    <w:rsid w:val="009A11DD"/>
    <w:rsid w:val="009A50F2"/>
    <w:rsid w:val="009B30AA"/>
    <w:rsid w:val="009B5217"/>
    <w:rsid w:val="009B5867"/>
    <w:rsid w:val="009C48DE"/>
    <w:rsid w:val="009D27A9"/>
    <w:rsid w:val="009D60D9"/>
    <w:rsid w:val="009E1E1E"/>
    <w:rsid w:val="009E33A9"/>
    <w:rsid w:val="009E33E3"/>
    <w:rsid w:val="009E7F16"/>
    <w:rsid w:val="009F0638"/>
    <w:rsid w:val="009F5052"/>
    <w:rsid w:val="00A03083"/>
    <w:rsid w:val="00A04C85"/>
    <w:rsid w:val="00A100F0"/>
    <w:rsid w:val="00A156E6"/>
    <w:rsid w:val="00A177C5"/>
    <w:rsid w:val="00A207DE"/>
    <w:rsid w:val="00A20DF2"/>
    <w:rsid w:val="00A2425A"/>
    <w:rsid w:val="00A27D86"/>
    <w:rsid w:val="00A30A3D"/>
    <w:rsid w:val="00A33151"/>
    <w:rsid w:val="00A34817"/>
    <w:rsid w:val="00A36970"/>
    <w:rsid w:val="00A41356"/>
    <w:rsid w:val="00A41EB4"/>
    <w:rsid w:val="00A44BFF"/>
    <w:rsid w:val="00A501E3"/>
    <w:rsid w:val="00A50F0C"/>
    <w:rsid w:val="00A52220"/>
    <w:rsid w:val="00A56441"/>
    <w:rsid w:val="00A642FB"/>
    <w:rsid w:val="00A736DD"/>
    <w:rsid w:val="00A7500C"/>
    <w:rsid w:val="00A818FD"/>
    <w:rsid w:val="00A82869"/>
    <w:rsid w:val="00A85A9C"/>
    <w:rsid w:val="00A8758C"/>
    <w:rsid w:val="00A87764"/>
    <w:rsid w:val="00A957CE"/>
    <w:rsid w:val="00AA127E"/>
    <w:rsid w:val="00AA19AE"/>
    <w:rsid w:val="00AA423D"/>
    <w:rsid w:val="00AA6A95"/>
    <w:rsid w:val="00AB10DE"/>
    <w:rsid w:val="00AB3668"/>
    <w:rsid w:val="00AB5ED7"/>
    <w:rsid w:val="00AC0B4C"/>
    <w:rsid w:val="00AD0AEE"/>
    <w:rsid w:val="00AD136E"/>
    <w:rsid w:val="00AD49E3"/>
    <w:rsid w:val="00AD4B4F"/>
    <w:rsid w:val="00AD555D"/>
    <w:rsid w:val="00AE1F60"/>
    <w:rsid w:val="00AE54E1"/>
    <w:rsid w:val="00AF0616"/>
    <w:rsid w:val="00AF0693"/>
    <w:rsid w:val="00AF0E28"/>
    <w:rsid w:val="00AF11D9"/>
    <w:rsid w:val="00AF6F9B"/>
    <w:rsid w:val="00AF7B49"/>
    <w:rsid w:val="00B01409"/>
    <w:rsid w:val="00B10DBD"/>
    <w:rsid w:val="00B10DCF"/>
    <w:rsid w:val="00B15629"/>
    <w:rsid w:val="00B2372C"/>
    <w:rsid w:val="00B24F9A"/>
    <w:rsid w:val="00B32F70"/>
    <w:rsid w:val="00B35A9F"/>
    <w:rsid w:val="00B373D0"/>
    <w:rsid w:val="00B43AAA"/>
    <w:rsid w:val="00B53139"/>
    <w:rsid w:val="00B562CE"/>
    <w:rsid w:val="00B62DE2"/>
    <w:rsid w:val="00B7047B"/>
    <w:rsid w:val="00B71710"/>
    <w:rsid w:val="00B74417"/>
    <w:rsid w:val="00B76758"/>
    <w:rsid w:val="00B77246"/>
    <w:rsid w:val="00B866CD"/>
    <w:rsid w:val="00B93034"/>
    <w:rsid w:val="00B940CA"/>
    <w:rsid w:val="00B946E7"/>
    <w:rsid w:val="00B97C5D"/>
    <w:rsid w:val="00BA1290"/>
    <w:rsid w:val="00BA3730"/>
    <w:rsid w:val="00BB2792"/>
    <w:rsid w:val="00BB76BF"/>
    <w:rsid w:val="00BC1AD1"/>
    <w:rsid w:val="00BC4A58"/>
    <w:rsid w:val="00BC613B"/>
    <w:rsid w:val="00BD51D9"/>
    <w:rsid w:val="00BD64E2"/>
    <w:rsid w:val="00BE4995"/>
    <w:rsid w:val="00BF0540"/>
    <w:rsid w:val="00BF429A"/>
    <w:rsid w:val="00BF4454"/>
    <w:rsid w:val="00BF62BE"/>
    <w:rsid w:val="00C07126"/>
    <w:rsid w:val="00C14104"/>
    <w:rsid w:val="00C16853"/>
    <w:rsid w:val="00C23E57"/>
    <w:rsid w:val="00C263F0"/>
    <w:rsid w:val="00C27F11"/>
    <w:rsid w:val="00C30CD5"/>
    <w:rsid w:val="00C33D41"/>
    <w:rsid w:val="00C356F6"/>
    <w:rsid w:val="00C358C6"/>
    <w:rsid w:val="00C40AFD"/>
    <w:rsid w:val="00C41E20"/>
    <w:rsid w:val="00C42E3E"/>
    <w:rsid w:val="00C51C13"/>
    <w:rsid w:val="00C525A5"/>
    <w:rsid w:val="00C5300F"/>
    <w:rsid w:val="00C54594"/>
    <w:rsid w:val="00C56CE3"/>
    <w:rsid w:val="00C66CE0"/>
    <w:rsid w:val="00C71BED"/>
    <w:rsid w:val="00C737B2"/>
    <w:rsid w:val="00C76CE0"/>
    <w:rsid w:val="00C81B53"/>
    <w:rsid w:val="00C82AD2"/>
    <w:rsid w:val="00C844F8"/>
    <w:rsid w:val="00C90FB6"/>
    <w:rsid w:val="00C9220E"/>
    <w:rsid w:val="00C932BD"/>
    <w:rsid w:val="00C93429"/>
    <w:rsid w:val="00C938FB"/>
    <w:rsid w:val="00C959CB"/>
    <w:rsid w:val="00CA16C5"/>
    <w:rsid w:val="00CA415A"/>
    <w:rsid w:val="00CA7A35"/>
    <w:rsid w:val="00CB1536"/>
    <w:rsid w:val="00CB683F"/>
    <w:rsid w:val="00CB7FB8"/>
    <w:rsid w:val="00CC1F71"/>
    <w:rsid w:val="00CC5588"/>
    <w:rsid w:val="00CC5EB3"/>
    <w:rsid w:val="00CC7EF8"/>
    <w:rsid w:val="00CD0E7B"/>
    <w:rsid w:val="00CD2ABD"/>
    <w:rsid w:val="00CD4024"/>
    <w:rsid w:val="00CD4617"/>
    <w:rsid w:val="00CD4855"/>
    <w:rsid w:val="00CD512E"/>
    <w:rsid w:val="00CD69B0"/>
    <w:rsid w:val="00CE29E0"/>
    <w:rsid w:val="00CE4B36"/>
    <w:rsid w:val="00CE655F"/>
    <w:rsid w:val="00CE6B16"/>
    <w:rsid w:val="00CE6D43"/>
    <w:rsid w:val="00CE7888"/>
    <w:rsid w:val="00CF2CB1"/>
    <w:rsid w:val="00CF3082"/>
    <w:rsid w:val="00CF5A36"/>
    <w:rsid w:val="00D10E1C"/>
    <w:rsid w:val="00D116C1"/>
    <w:rsid w:val="00D1173D"/>
    <w:rsid w:val="00D128D2"/>
    <w:rsid w:val="00D153B6"/>
    <w:rsid w:val="00D161A3"/>
    <w:rsid w:val="00D22E49"/>
    <w:rsid w:val="00D23716"/>
    <w:rsid w:val="00D25ED8"/>
    <w:rsid w:val="00D26714"/>
    <w:rsid w:val="00D27F8F"/>
    <w:rsid w:val="00D316B8"/>
    <w:rsid w:val="00D31CFC"/>
    <w:rsid w:val="00D3255D"/>
    <w:rsid w:val="00D340C3"/>
    <w:rsid w:val="00D409CD"/>
    <w:rsid w:val="00D4116A"/>
    <w:rsid w:val="00D4200F"/>
    <w:rsid w:val="00D423D4"/>
    <w:rsid w:val="00D42CAF"/>
    <w:rsid w:val="00D5310F"/>
    <w:rsid w:val="00D601EF"/>
    <w:rsid w:val="00D61533"/>
    <w:rsid w:val="00D632F6"/>
    <w:rsid w:val="00D63B2F"/>
    <w:rsid w:val="00D70747"/>
    <w:rsid w:val="00D725FC"/>
    <w:rsid w:val="00D7261D"/>
    <w:rsid w:val="00D74D3A"/>
    <w:rsid w:val="00D755FC"/>
    <w:rsid w:val="00D76B6D"/>
    <w:rsid w:val="00D76C79"/>
    <w:rsid w:val="00D84D07"/>
    <w:rsid w:val="00D8526A"/>
    <w:rsid w:val="00D90E91"/>
    <w:rsid w:val="00D94011"/>
    <w:rsid w:val="00DA7705"/>
    <w:rsid w:val="00DB5B6A"/>
    <w:rsid w:val="00DB60E1"/>
    <w:rsid w:val="00DC1347"/>
    <w:rsid w:val="00DC39F1"/>
    <w:rsid w:val="00DD4CEA"/>
    <w:rsid w:val="00DD5B10"/>
    <w:rsid w:val="00DD6D90"/>
    <w:rsid w:val="00DE1B92"/>
    <w:rsid w:val="00DE1CC9"/>
    <w:rsid w:val="00DE2099"/>
    <w:rsid w:val="00DE4B35"/>
    <w:rsid w:val="00DF19C1"/>
    <w:rsid w:val="00DF54CA"/>
    <w:rsid w:val="00DF56C9"/>
    <w:rsid w:val="00DF5B64"/>
    <w:rsid w:val="00E01928"/>
    <w:rsid w:val="00E02794"/>
    <w:rsid w:val="00E043E3"/>
    <w:rsid w:val="00E0505B"/>
    <w:rsid w:val="00E11280"/>
    <w:rsid w:val="00E12359"/>
    <w:rsid w:val="00E12C08"/>
    <w:rsid w:val="00E152FF"/>
    <w:rsid w:val="00E23721"/>
    <w:rsid w:val="00E23FAD"/>
    <w:rsid w:val="00E2411E"/>
    <w:rsid w:val="00E2461B"/>
    <w:rsid w:val="00E24886"/>
    <w:rsid w:val="00E276FB"/>
    <w:rsid w:val="00E32595"/>
    <w:rsid w:val="00E32DC6"/>
    <w:rsid w:val="00E33A74"/>
    <w:rsid w:val="00E349DB"/>
    <w:rsid w:val="00E4030B"/>
    <w:rsid w:val="00E41D56"/>
    <w:rsid w:val="00E451A3"/>
    <w:rsid w:val="00E457DF"/>
    <w:rsid w:val="00E46642"/>
    <w:rsid w:val="00E46E2C"/>
    <w:rsid w:val="00E47538"/>
    <w:rsid w:val="00E5139A"/>
    <w:rsid w:val="00E5413D"/>
    <w:rsid w:val="00E545EE"/>
    <w:rsid w:val="00E57977"/>
    <w:rsid w:val="00E62BE5"/>
    <w:rsid w:val="00E635D7"/>
    <w:rsid w:val="00E635D8"/>
    <w:rsid w:val="00E646E8"/>
    <w:rsid w:val="00E64BDE"/>
    <w:rsid w:val="00E66B48"/>
    <w:rsid w:val="00E70576"/>
    <w:rsid w:val="00E716C1"/>
    <w:rsid w:val="00E71DED"/>
    <w:rsid w:val="00E75601"/>
    <w:rsid w:val="00E83954"/>
    <w:rsid w:val="00E91730"/>
    <w:rsid w:val="00E950AD"/>
    <w:rsid w:val="00E96F04"/>
    <w:rsid w:val="00E97AEC"/>
    <w:rsid w:val="00EA20FE"/>
    <w:rsid w:val="00EB491E"/>
    <w:rsid w:val="00EB681B"/>
    <w:rsid w:val="00EC011C"/>
    <w:rsid w:val="00EC4FAD"/>
    <w:rsid w:val="00EC500C"/>
    <w:rsid w:val="00ED796E"/>
    <w:rsid w:val="00EE3CFA"/>
    <w:rsid w:val="00EE64BE"/>
    <w:rsid w:val="00EE69E4"/>
    <w:rsid w:val="00EF2A7F"/>
    <w:rsid w:val="00EF7E90"/>
    <w:rsid w:val="00F002B6"/>
    <w:rsid w:val="00F00F22"/>
    <w:rsid w:val="00F0153B"/>
    <w:rsid w:val="00F10AFE"/>
    <w:rsid w:val="00F10D58"/>
    <w:rsid w:val="00F15C6C"/>
    <w:rsid w:val="00F17173"/>
    <w:rsid w:val="00F20987"/>
    <w:rsid w:val="00F224DC"/>
    <w:rsid w:val="00F23379"/>
    <w:rsid w:val="00F234C8"/>
    <w:rsid w:val="00F2423B"/>
    <w:rsid w:val="00F2687F"/>
    <w:rsid w:val="00F26A5E"/>
    <w:rsid w:val="00F27F29"/>
    <w:rsid w:val="00F30481"/>
    <w:rsid w:val="00F32D54"/>
    <w:rsid w:val="00F36C54"/>
    <w:rsid w:val="00F418EA"/>
    <w:rsid w:val="00F41A29"/>
    <w:rsid w:val="00F44C1C"/>
    <w:rsid w:val="00F518DF"/>
    <w:rsid w:val="00F544DB"/>
    <w:rsid w:val="00F6502E"/>
    <w:rsid w:val="00F65663"/>
    <w:rsid w:val="00F75147"/>
    <w:rsid w:val="00F756C0"/>
    <w:rsid w:val="00F75A40"/>
    <w:rsid w:val="00F77637"/>
    <w:rsid w:val="00F77E0A"/>
    <w:rsid w:val="00F83194"/>
    <w:rsid w:val="00F8435D"/>
    <w:rsid w:val="00F862E5"/>
    <w:rsid w:val="00F87DD0"/>
    <w:rsid w:val="00F93360"/>
    <w:rsid w:val="00F93FE4"/>
    <w:rsid w:val="00F96801"/>
    <w:rsid w:val="00F97CD9"/>
    <w:rsid w:val="00F97E4E"/>
    <w:rsid w:val="00FA1A40"/>
    <w:rsid w:val="00FA217B"/>
    <w:rsid w:val="00FA42D6"/>
    <w:rsid w:val="00FB0BC5"/>
    <w:rsid w:val="00FB0BCC"/>
    <w:rsid w:val="00FC0FE5"/>
    <w:rsid w:val="00FD1ABC"/>
    <w:rsid w:val="00FD6B4F"/>
    <w:rsid w:val="00FD7DDF"/>
    <w:rsid w:val="00FE4C92"/>
    <w:rsid w:val="00FF0FAA"/>
    <w:rsid w:val="00FF1285"/>
    <w:rsid w:val="00FF3759"/>
    <w:rsid w:val="00FF4396"/>
    <w:rsid w:val="00FF4D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EBC0FC3"/>
  <w15:docId w15:val="{67745210-DDA7-4D28-AF49-208890E5573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bg-BG" w:eastAsia="it-IT" w:bidi="it-IT"/>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outlineLvl w:val="0"/>
    </w:pPr>
    <w:rPr>
      <w:kern w:val="28"/>
    </w:rPr>
  </w:style>
  <w:style w:type="paragraph" w:styleId="Heading2">
    <w:name w:val="heading 2"/>
    <w:basedOn w:val="Normal"/>
    <w:next w:val="Normal"/>
    <w:link w:val="Heading2Char"/>
    <w:qFormat/>
    <w:rsid w:val="002131AE"/>
    <w:pPr>
      <w:numPr>
        <w:ilvl w:val="1"/>
        <w:numId w:val="1"/>
      </w:numPr>
      <w:outlineLvl w:val="1"/>
    </w:pPr>
  </w:style>
  <w:style w:type="paragraph" w:styleId="Heading3">
    <w:name w:val="heading 3"/>
    <w:basedOn w:val="Normal"/>
    <w:next w:val="Normal"/>
    <w:link w:val="Heading3Char"/>
    <w:qFormat/>
    <w:rsid w:val="002131AE"/>
    <w:pPr>
      <w:numPr>
        <w:ilvl w:val="2"/>
        <w:numId w:val="1"/>
      </w:numPr>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it-IT" w:bidi="it-IT"/>
    </w:rPr>
  </w:style>
  <w:style w:type="character" w:customStyle="1" w:styleId="Heading2Char">
    <w:name w:val="Heading 2 Char"/>
    <w:basedOn w:val="DefaultParagraphFont"/>
    <w:link w:val="Heading2"/>
    <w:locked/>
    <w:rsid w:val="00CB1536"/>
    <w:rPr>
      <w:szCs w:val="20"/>
      <w:lang w:eastAsia="it-IT" w:bidi="it-IT"/>
    </w:rPr>
  </w:style>
  <w:style w:type="character" w:customStyle="1" w:styleId="Heading3Char">
    <w:name w:val="Heading 3 Char"/>
    <w:basedOn w:val="DefaultParagraphFont"/>
    <w:link w:val="Heading3"/>
    <w:locked/>
    <w:rsid w:val="00CB1536"/>
    <w:rPr>
      <w:szCs w:val="20"/>
      <w:lang w:eastAsia="it-IT" w:bidi="it-IT"/>
    </w:rPr>
  </w:style>
  <w:style w:type="character" w:customStyle="1" w:styleId="Heading4Char">
    <w:name w:val="Heading 4 Char"/>
    <w:basedOn w:val="DefaultParagraphFont"/>
    <w:link w:val="Heading4"/>
    <w:locked/>
    <w:rsid w:val="00CB1536"/>
    <w:rPr>
      <w:szCs w:val="20"/>
      <w:lang w:eastAsia="it-IT" w:bidi="it-IT"/>
    </w:rPr>
  </w:style>
  <w:style w:type="character" w:customStyle="1" w:styleId="Heading5Char">
    <w:name w:val="Heading 5 Char"/>
    <w:basedOn w:val="DefaultParagraphFont"/>
    <w:link w:val="Heading5"/>
    <w:locked/>
    <w:rsid w:val="00CB1536"/>
    <w:rPr>
      <w:szCs w:val="20"/>
      <w:lang w:eastAsia="it-IT" w:bidi="it-IT"/>
    </w:rPr>
  </w:style>
  <w:style w:type="character" w:customStyle="1" w:styleId="Heading6Char">
    <w:name w:val="Heading 6 Char"/>
    <w:basedOn w:val="DefaultParagraphFont"/>
    <w:link w:val="Heading6"/>
    <w:locked/>
    <w:rsid w:val="00CB1536"/>
    <w:rPr>
      <w:szCs w:val="20"/>
      <w:lang w:eastAsia="it-IT" w:bidi="it-IT"/>
    </w:rPr>
  </w:style>
  <w:style w:type="character" w:customStyle="1" w:styleId="Heading7Char">
    <w:name w:val="Heading 7 Char"/>
    <w:basedOn w:val="DefaultParagraphFont"/>
    <w:link w:val="Heading7"/>
    <w:locked/>
    <w:rsid w:val="00CB1536"/>
    <w:rPr>
      <w:szCs w:val="20"/>
      <w:lang w:eastAsia="it-IT" w:bidi="it-IT"/>
    </w:rPr>
  </w:style>
  <w:style w:type="character" w:customStyle="1" w:styleId="Heading8Char">
    <w:name w:val="Heading 8 Char"/>
    <w:basedOn w:val="DefaultParagraphFont"/>
    <w:link w:val="Heading8"/>
    <w:locked/>
    <w:rsid w:val="00CB1536"/>
    <w:rPr>
      <w:szCs w:val="20"/>
      <w:lang w:eastAsia="it-IT" w:bidi="it-IT"/>
    </w:rPr>
  </w:style>
  <w:style w:type="character" w:customStyle="1" w:styleId="Heading9Char">
    <w:name w:val="Heading 9 Char"/>
    <w:basedOn w:val="DefaultParagraphFont"/>
    <w:link w:val="Heading9"/>
    <w:locked/>
    <w:rsid w:val="00CB1536"/>
    <w:rPr>
      <w:szCs w:val="20"/>
      <w:lang w:eastAsia="it-IT" w:bidi="it-IT"/>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it-IT" w:bidi="it-IT"/>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737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7B2"/>
    <w:rPr>
      <w:rFonts w:ascii="Tahoma" w:hAnsi="Tahoma" w:cs="Tahoma"/>
      <w:sz w:val="16"/>
      <w:szCs w:val="16"/>
      <w:lang w:eastAsia="it-IT" w:bidi="it-IT"/>
    </w:rPr>
  </w:style>
  <w:style w:type="paragraph" w:styleId="NormalWeb">
    <w:name w:val="Normal (Web)"/>
    <w:basedOn w:val="Normal"/>
    <w:uiPriority w:val="99"/>
    <w:unhideWhenUsed/>
    <w:rsid w:val="00CE4B36"/>
    <w:pPr>
      <w:overflowPunct/>
      <w:autoSpaceDE/>
      <w:autoSpaceDN/>
      <w:adjustRightInd/>
      <w:spacing w:before="100" w:beforeAutospacing="1" w:after="100" w:afterAutospacing="1" w:line="240" w:lineRule="auto"/>
      <w:jc w:val="left"/>
      <w:textAlignment w:val="auto"/>
    </w:pPr>
    <w:rPr>
      <w:sz w:val="24"/>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eesc.europa.eu/bg/our-work/opinions-information-reports/opinions/digital-operational-resilience" TargetMode="External"/><Relationship Id="rId2" Type="http://schemas.openxmlformats.org/officeDocument/2006/relationships/hyperlink" Target="https://www.eesc.europa.eu/bg/our-work/opinions-information-reports/opinions/digital-operational-resilience" TargetMode="External"/><Relationship Id="rId1" Type="http://schemas.openxmlformats.org/officeDocument/2006/relationships/hyperlink" Target="https://www.eesc.europa.eu/bg/our-work/opinions-information-reports/opinions/digital-finance-strategy-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VV634QRNENMJ-592872750-7322</_dlc_DocId>
    <_dlc_DocIdUrl xmlns="cda99570-6012-4083-bfeb-7d32ad1ce1a3">
      <Url>http://dm2016/eesc/2020/_layouts/15/DocIdRedir.aspx?ID=VV634QRNENMJ-592872750-7322</Url>
      <Description>VV634QRNENMJ-592872750-7322</Description>
    </_dlc_DocIdUrl>
    <Procedure xmlns="cda99570-6012-4083-bfeb-7d32ad1ce1a3">2020/0265(COD)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4982</DocumentNumber>
    <DocumentVersion xmlns="cda99570-6012-4083-bfeb-7d32ad1ce1a3">0</DocumentVersion>
    <DossierNumber xmlns="cda99570-6012-4083-bfeb-7d32ad1ce1a3">535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Rapporteur xmlns="cda99570-6012-4083-bfeb-7d32ad1ce1a3">GUERINI</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1572</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3B191042-441C-492F-9A4C-2FC299D9AB3E}"/>
</file>

<file path=customXml/itemProps2.xml><?xml version="1.0" encoding="utf-8"?>
<ds:datastoreItem xmlns:ds="http://schemas.openxmlformats.org/officeDocument/2006/customXml" ds:itemID="{63178C53-9639-4DBB-B4BF-4318AC07E20B}"/>
</file>

<file path=customXml/itemProps3.xml><?xml version="1.0" encoding="utf-8"?>
<ds:datastoreItem xmlns:ds="http://schemas.openxmlformats.org/officeDocument/2006/customXml" ds:itemID="{E8CCFF09-3462-48FE-A6B8-AFD92F131AD4}"/>
</file>

<file path=customXml/itemProps4.xml><?xml version="1.0" encoding="utf-8"?>
<ds:datastoreItem xmlns:ds="http://schemas.openxmlformats.org/officeDocument/2006/customXml" ds:itemID="{49CFE05F-BDD7-46B1-B9E5-B09BFFAC906F}"/>
</file>

<file path=docProps/app.xml><?xml version="1.0" encoding="utf-8"?>
<Properties xmlns="http://schemas.openxmlformats.org/officeDocument/2006/extended-properties" xmlns:vt="http://schemas.openxmlformats.org/officeDocument/2006/docPropsVTypes">
  <Template>Styles</Template>
  <TotalTime>22</TotalTime>
  <Pages>13</Pages>
  <Words>4475</Words>
  <Characters>25511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Cripto-attività e tecnologia di registro distribuito</vt:lpstr>
    </vt:vector>
  </TitlesOfParts>
  <Company>CESE-CdR</Company>
  <LinksUpToDate>false</LinksUpToDate>
  <CharactersWithSpaces>29927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Криптовалутите и технологията на разпределения регистър</dc:title>
  <dc:creator>Emma Nieddu</dc:creator>
  <cp:keywords>EESC-2020-04982-00-00-AC-TRA-IT</cp:keywords>
  <dc:description>Rapporteur: GUERINI - Original language: IT - Date of document: 02/03/2021 - Date of meeting:  - External documents: COM(2020)593-final - Administrator: M. KLEC Gerald</dc:description>
  <cp:lastModifiedBy>Yulian Petrov</cp:lastModifiedBy>
  <cp:revision>7</cp:revision>
  <cp:lastPrinted>2016-07-15T08:05:00Z</cp:lastPrinted>
  <dcterms:created xsi:type="dcterms:W3CDTF">2021-02-26T16:52:00Z</dcterms:created>
  <dcterms:modified xsi:type="dcterms:W3CDTF">2021-03-02T09:44:00Z</dcterms:modified>
  <cp:category>ECO/535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26/02/2021, 17/02/2021, 15/02/2021, 21/01/2021, 23/12/2020, 04/11/2015, 27/10/2015, 19/10/2015, 09/10/2015, 05/10/2015, 05/10/2015, 26/08/2015, 26/08/2015, 25/08/2015</vt:lpwstr>
  </property>
  <property fmtid="{D5CDD505-2E9C-101B-9397-08002B2CF9AE}" pid="4" name="Pref_Time">
    <vt:lpwstr>17:50:16, 08:17:06, 16:33:13, 14:55:07, 13:30:06, 12/10/07, 14:44:02, 16/04/16, 14:09:30, 16:24:55, 16:04:02, 08:56:14, 07:27:56, 17:31:53</vt:lpwstr>
  </property>
  <property fmtid="{D5CDD505-2E9C-101B-9397-08002B2CF9AE}" pid="5" name="Pref_User">
    <vt:lpwstr>enied, enied, enied, hnic, enied, ssex, enied, amett, tvoc, mreg, mreg, amett, enied, ssex</vt:lpwstr>
  </property>
  <property fmtid="{D5CDD505-2E9C-101B-9397-08002B2CF9AE}" pid="6" name="Pref_FileName">
    <vt:lpwstr>EESC-2020-04982-00-00-AC-TRA-IT-CRR.docx, EESC-2020-04982-00-01-AS-ORI.docx, EESC-2020-04982-00-00-AS-TRA-IT-CRR.docx, EESC-2020-04982-00-00-PA-TRA-IT-CRR.docx, EESC-2020-04982-00-00-APA-TRA-IT-CRR.docx, EESC-2015-05408-00-00-PA-CRR-EN.docx, EESC-2015-054</vt:lpwstr>
  </property>
  <property fmtid="{D5CDD505-2E9C-101B-9397-08002B2CF9AE}" pid="7" name="ContentTypeId">
    <vt:lpwstr>0x010100EA97B91038054C99906057A708A1480A00B2B329A7DAC4C144A75447C3256C027E</vt:lpwstr>
  </property>
  <property fmtid="{D5CDD505-2E9C-101B-9397-08002B2CF9AE}" pid="8" name="_dlc_DocIdItemGuid">
    <vt:lpwstr>431d3ab7-11a3-4511-94e1-0909432b724c</vt:lpwstr>
  </property>
  <property fmtid="{D5CDD505-2E9C-101B-9397-08002B2CF9AE}" pid="9" name="Procedure">
    <vt:lpwstr>2020/0265(COD)</vt:lpwstr>
  </property>
  <property fmtid="{D5CDD505-2E9C-101B-9397-08002B2CF9AE}" pid="10" name="AvailableTranslations">
    <vt:lpwstr>43;#HR|2f555653-ed1a-4fe6-8362-9082d95989e5;#9;#PL|1e03da61-4678-4e07-b136-b5024ca9197b;#44;#BG|1a1b3951-7821-4e6a-85f5-5673fc08bd2c;#41;#NL|55c6556c-b4f4-441d-9acf-c498d4f838bd;#34;#SL|98a412ae-eb01-49e9-ae3d-585a81724cfc;#48;#RO|feb747a2-64cd-4299-af12-4833ddc30497;#31;#CS|72f9705b-0217-4fd3-bea2-cbc7ed80e26e;#11;#FR|d2afafd3-4c81-4f60-8f52-ee33f2f54ff3;#45;#FI|87606a43-d45f-42d6-b8c9-e1a3457db5b7;#46;#SK|46d9fce0-ef79-4f71-b89b-cd6aa82426b8;#4;#EN|f2175f21-25d7-44a3-96da-d6a61b075e1b;#38;#EL|6d4f4d51-af9b-4650-94b4-4276bee85c91;#13;#IT|0774613c-01ed-4e5d-a25d-11d2388de825;#29;#PT|50ccc04a-eadd-42ae-a0cb-acaf45f812ba;#16;#ES|e7a6b05b-ae16-40c8-add9-68b64b03aeba;#36;#MT|7df99101-6854-4a26-b53a-b88c0da02c26;#10;#DE|f6b31e5a-26fa-4935-b661-318e46daf27e;#47;#ET|ff6c3f4c-b02c-4c3c-ab07-2c37995a7a0a;#40;#SV|c2ed69e7-a339-43d7-8f22-d93680a92aa0;#24;#LV|46f7e311-5d9f-4663-b433-18aeccb7ace7;#30;#LT|a7ff5ce7-6123-4f68-865a-a57c31810414;#32;#DA|5d49c027-8956-412b-aa16-e85a0f96ad0e;#39;#HU|6b229040-c589-4408-b4c1-4285663d20a8</vt:lpwstr>
  </property>
  <property fmtid="{D5CDD505-2E9C-101B-9397-08002B2CF9AE}" pid="11" name="DocumentType_0">
    <vt:lpwstr>AC|a4cc1d15-fb08-4679-ad46-e4e0cba5fe92</vt:lpwstr>
  </property>
  <property fmtid="{D5CDD505-2E9C-101B-9397-08002B2CF9AE}" pid="12" name="DossierName_0">
    <vt:lpwstr>ECO|8df351f5-c957-404c-8cf3-8ffb22c9cba2</vt:lpwstr>
  </property>
  <property fmtid="{D5CDD505-2E9C-101B-9397-08002B2CF9AE}" pid="13" name="DocumentSource_0">
    <vt:lpwstr>EESC|422833ec-8d7e-4e65-8e4e-8bed07ffb729</vt:lpwstr>
  </property>
  <property fmtid="{D5CDD505-2E9C-101B-9397-08002B2CF9AE}" pid="14" name="DocumentNumber">
    <vt:i4>4982</vt:i4>
  </property>
  <property fmtid="{D5CDD505-2E9C-101B-9397-08002B2CF9AE}" pid="15" name="FicheYear">
    <vt:i4>2020</vt:i4>
  </property>
  <property fmtid="{D5CDD505-2E9C-101B-9397-08002B2CF9AE}" pid="16" name="DocumentVersion">
    <vt:i4>0</vt:i4>
  </property>
  <property fmtid="{D5CDD505-2E9C-101B-9397-08002B2CF9AE}" pid="17" name="DossierNumber">
    <vt:i4>535</vt:i4>
  </property>
  <property fmtid="{D5CDD505-2E9C-101B-9397-08002B2CF9AE}" pid="18" name="DocumentStatus">
    <vt:lpwstr>2;#TRA|150d2a88-1431-44e6-a8ca-0bb753ab8672</vt:lpwstr>
  </property>
  <property fmtid="{D5CDD505-2E9C-101B-9397-08002B2CF9AE}" pid="19" name="DocumentPart">
    <vt:i4>0</vt:i4>
  </property>
  <property fmtid="{D5CDD505-2E9C-101B-9397-08002B2CF9AE}" pid="20" name="DossierName">
    <vt:lpwstr>80;#ECO|8df351f5-c957-404c-8cf3-8ffb22c9cba2</vt:lpwstr>
  </property>
  <property fmtid="{D5CDD505-2E9C-101B-9397-08002B2CF9AE}" pid="21" name="DocumentSource">
    <vt:lpwstr>1;#EESC|422833ec-8d7e-4e65-8e4e-8bed07ffb729</vt:lpwstr>
  </property>
  <property fmtid="{D5CDD505-2E9C-101B-9397-08002B2CF9AE}" pid="22" name="AdoptionDate">
    <vt:filetime>2021-02-24T12:00:00Z</vt:filetime>
  </property>
  <property fmtid="{D5CDD505-2E9C-101B-9397-08002B2CF9AE}" pid="23" name="DocumentType">
    <vt:lpwstr>70;#AC|a4cc1d15-fb08-4679-ad46-e4e0cba5fe92</vt:lpwstr>
  </property>
  <property fmtid="{D5CDD505-2E9C-101B-9397-08002B2CF9AE}" pid="24" name="RequestingService">
    <vt:lpwstr>Union économique et monétaire et cohésion économique et sociale</vt:lpwstr>
  </property>
  <property fmtid="{D5CDD505-2E9C-101B-9397-08002B2CF9AE}" pid="25" name="Confidentiality">
    <vt:lpwstr>5;#Unrestricted|826e22d7-d029-4ec0-a450-0c28ff673572</vt:lpwstr>
  </property>
  <property fmtid="{D5CDD505-2E9C-101B-9397-08002B2CF9AE}" pid="26" name="MeetingName_0">
    <vt:lpwstr/>
  </property>
  <property fmtid="{D5CDD505-2E9C-101B-9397-08002B2CF9AE}" pid="27" name="Confidentiality_0">
    <vt:lpwstr>Unrestricted|826e22d7-d029-4ec0-a450-0c28ff673572</vt:lpwstr>
  </property>
  <property fmtid="{D5CDD505-2E9C-101B-9397-08002B2CF9AE}" pid="28" name="OriginalLanguage">
    <vt:lpwstr>13;#IT|0774613c-01ed-4e5d-a25d-11d2388de825</vt:lpwstr>
  </property>
  <property fmtid="{D5CDD505-2E9C-101B-9397-08002B2CF9AE}" pid="29" name="MeetingName">
    <vt:lpwstr/>
  </property>
  <property fmtid="{D5CDD505-2E9C-101B-9397-08002B2CF9AE}" pid="31" name="AvailableTranslations_0">
    <vt:lpwstr>HR|2f555653-ed1a-4fe6-8362-9082d95989e5;PL|1e03da61-4678-4e07-b136-b5024ca9197b;NL|55c6556c-b4f4-441d-9acf-c498d4f838bd;SL|98a412ae-eb01-49e9-ae3d-585a81724cfc;CS|72f9705b-0217-4fd3-bea2-cbc7ed80e26e;FR|d2afafd3-4c81-4f60-8f52-ee33f2f54ff3;FI|87606a43-d45f-42d6-b8c9-e1a3457db5b7;SK|46d9fce0-ef79-4f71-b89b-cd6aa82426b8;EN|f2175f21-25d7-44a3-96da-d6a61b075e1b;EL|6d4f4d51-af9b-4650-94b4-4276bee85c91;IT|0774613c-01ed-4e5d-a25d-11d2388de825;PT|50ccc04a-eadd-42ae-a0cb-acaf45f812ba;ES|e7a6b05b-ae16-40c8-add9-68b64b03aeba;MT|7df99101-6854-4a26-b53a-b88c0da02c26;DE|f6b31e5a-26fa-4935-b661-318e46daf27e;ET|ff6c3f4c-b02c-4c3c-ab07-2c37995a7a0a;SV|c2ed69e7-a339-43d7-8f22-d93680a92aa0;DA|5d49c027-8956-412b-aa16-e85a0f96ad0e;HU|6b229040-c589-4408-b4c1-4285663d20a8</vt:lpwstr>
  </property>
  <property fmtid="{D5CDD505-2E9C-101B-9397-08002B2CF9AE}" pid="32" name="DocumentStatus_0">
    <vt:lpwstr>TRA|150d2a88-1431-44e6-a8ca-0bb753ab8672</vt:lpwstr>
  </property>
  <property fmtid="{D5CDD505-2E9C-101B-9397-08002B2CF9AE}" pid="33" name="OriginalLanguage_0">
    <vt:lpwstr>IT|0774613c-01ed-4e5d-a25d-11d2388de825</vt:lpwstr>
  </property>
  <property fmtid="{D5CDD505-2E9C-101B-9397-08002B2CF9AE}" pid="34" name="TaxCatchAll">
    <vt:lpwstr>36;#MT|7df99101-6854-4a26-b53a-b88c0da02c26;#34;#SL|98a412ae-eb01-49e9-ae3d-585a81724cfc;#70;#AC|a4cc1d15-fb08-4679-ad46-e4e0cba5fe92;#32;#DA|5d49c027-8956-412b-aa16-e85a0f96ad0e;#31;#CS|72f9705b-0217-4fd3-bea2-cbc7ed80e26e;#43;#HR|2f555653-ed1a-4fe6-8362-9082d95989e5;#29;#PT|50ccc04a-eadd-42ae-a0cb-acaf45f812ba;#38;#EL|6d4f4d51-af9b-4650-94b4-4276bee85c91;#80;#ECO|8df351f5-c957-404c-8cf3-8ffb22c9cba2;#4;#EN|f2175f21-25d7-44a3-96da-d6a61b075e1b;#39;#HU|6b229040-c589-4408-b4c1-4285663d20a8;#16;#ES|e7a6b05b-ae16-40c8-add9-68b64b03aeba;#13;#IT|0774613c-01ed-4e5d-a25d-11d2388de825;#46;#SK|46d9fce0-ef79-4f71-b89b-cd6aa82426b8;#11;#FR|d2afafd3-4c81-4f60-8f52-ee33f2f54ff3;#10;#DE|f6b31e5a-26fa-4935-b661-318e46daf27e;#9;#PL|1e03da61-4678-4e07-b136-b5024ca9197b;#45;#FI|87606a43-d45f-42d6-b8c9-e1a3457db5b7;#6;#Final|ea5e6674-7b27-4bac-b091-73adbb394efe;#5;#Unrestricted|826e22d7-d029-4ec0-a450-0c28ff673572;#41;#NL|55c6556c-b4f4-441d-9acf-c498d4f838bd;#40;#SV|c2ed69e7-a339-43d7-8f22-d93680a92aa0;#2;#TRA|150d2a88-1431-44e6-a8ca-0bb753ab8672;#1;#EESC|422833ec-8d7e-4e65-8e4e-8bed07ffb729;#47;#ET|ff6c3f4c-b02c-4c3c-ab07-2c37995a7a0a</vt:lpwstr>
  </property>
  <property fmtid="{D5CDD505-2E9C-101B-9397-08002B2CF9AE}" pid="35" name="Rapporteur">
    <vt:lpwstr>GUERINI</vt:lpwstr>
  </property>
  <property fmtid="{D5CDD505-2E9C-101B-9397-08002B2CF9AE}" pid="36" name="VersionStatus_0">
    <vt:lpwstr>Final|ea5e6674-7b27-4bac-b091-73adbb394efe</vt:lpwstr>
  </property>
  <property fmtid="{D5CDD505-2E9C-101B-9397-08002B2CF9AE}" pid="37" name="VersionStatus">
    <vt:lpwstr>6;#Final|ea5e6674-7b27-4bac-b091-73adbb394efe</vt:lpwstr>
  </property>
  <property fmtid="{D5CDD505-2E9C-101B-9397-08002B2CF9AE}" pid="38" name="DocumentYear">
    <vt:i4>2020</vt:i4>
  </property>
  <property fmtid="{D5CDD505-2E9C-101B-9397-08002B2CF9AE}" pid="39" name="FicheNumber">
    <vt:i4>1572</vt:i4>
  </property>
  <property fmtid="{D5CDD505-2E9C-101B-9397-08002B2CF9AE}" pid="40" name="DocumentLanguage">
    <vt:lpwstr>44;#BG|1a1b3951-7821-4e6a-85f5-5673fc08bd2c</vt:lpwstr>
  </property>
</Properties>
</file>