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06E00" w:rsidR="00086340" w:rsidP="00FF4C0E" w:rsidRDefault="000E2902">
      <w:pPr>
        <w:jc w:val="center"/>
      </w:pPr>
      <w:r w:rsidRPr="00693F40">
        <w:rPr>
          <w:noProof/>
          <w:lang w:val="en-US"/>
        </w:rPr>
        <w:drawing>
          <wp:inline distT="0" distB="0" distL="0" distR="0" wp14:anchorId="43507760" wp14:editId="010073D2">
            <wp:extent cx="1792605" cy="1239520"/>
            <wp:effectExtent l="0" t="0" r="0" b="0"/>
            <wp:docPr id="2" name="Picture 2" title="EESCLogo_SK"/>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Pr="00206E00" w:rsidR="00086340">
        <w:rPr>
          <w:rFonts w:ascii="Arial" w:hAnsi="Arial"/>
          <w:b/>
          <w:sz w:val="20"/>
        </w:rPr>
        <mc:AlternateContent>
          <mc:Choice Requires="wps">
            <w:drawing>
              <wp:anchor distT="0" distB="0" distL="114300" distR="114300" simplePos="0" relativeHeight="251657728" behindDoc="1" locked="0" layoutInCell="0" allowOverlap="1" wp14:editId="509CCEAD" wp14:anchorId="4D910C97">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06E00" w:rsidR="00B00D23" w:rsidRDefault="00B00D23">
                            <w:pPr>
                              <w:jc w:val="center"/>
                              <w:rPr>
                                <w:rFonts w:ascii="Arial" w:hAnsi="Arial" w:cs="Arial"/>
                                <w:b/>
                                <w:bCs/>
                                <w:sz w:val="48"/>
                              </w:rPr>
                            </w:pPr>
                            <w:r w:rsidRPr="00206E00">
                              <w:rPr>
                                <w:rFonts w:ascii="Arial" w:hAnsi="Arial"/>
                                <w:b/>
                                <w:bCs/>
                                <w:sz w:val="48"/>
                              </w:rPr>
                              <w:t>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4D910C97">
                <v:stroke joinstyle="miter"/>
                <v:path gradientshapeok="t" o:connecttype="rect"/>
              </v:shapetype>
              <v:shape id="Text Box 21" style="position:absolute;left:0;text-align:left;margin-left:533pt;margin-top:793.8pt;width:51pt;height:3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206E00" w:rsidR="00B00D23" w:rsidRDefault="00B00D23">
                      <w:pPr>
                        <w:jc w:val="center"/>
                        <w:rPr>
                          <w:rFonts w:ascii="Arial" w:hAnsi="Arial" w:cs="Arial"/>
                          <w:b/>
                          <w:bCs/>
                          <w:sz w:val="48"/>
                        </w:rPr>
                      </w:pPr>
                      <w:r w:rsidRPr="00206E00">
                        <w:rPr>
                          <w:rFonts w:ascii="Arial" w:hAnsi="Arial"/>
                          <w:b/>
                          <w:bCs/>
                          <w:sz w:val="48"/>
                        </w:rPr>
                        <w:t>SK</w:t>
                      </w:r>
                    </w:p>
                  </w:txbxContent>
                </v:textbox>
                <w10:wrap anchorx="page" anchory="page"/>
              </v:shape>
            </w:pict>
          </mc:Fallback>
        </mc:AlternateContent>
      </w:r>
    </w:p>
    <w:p w:rsidRPr="00206E00" w:rsidR="00086340" w:rsidP="00FF4C0E" w:rsidRDefault="00086340"/>
    <w:p w:rsidRPr="00206E00" w:rsidR="00086340" w:rsidP="00FF4C0E" w:rsidRDefault="00086340">
      <w:pPr>
        <w:jc w:val="right"/>
      </w:pPr>
      <w:r w:rsidRPr="00206E00">
        <w:rPr>
          <w:b/>
        </w:rPr>
        <w:t>CCMI/178</w:t>
      </w:r>
    </w:p>
    <w:p w:rsidRPr="00206E00" w:rsidR="00086340" w:rsidP="00FF4C0E" w:rsidRDefault="00086340">
      <w:pPr>
        <w:jc w:val="right"/>
      </w:pPr>
      <w:r w:rsidRPr="00206E00">
        <w:rPr>
          <w:b/>
        </w:rPr>
        <w:t>Požiadavky na udržateľnosť batérií</w:t>
      </w:r>
      <w:r w:rsidRPr="00206E00" w:rsidR="00D660AE">
        <w:rPr>
          <w:b/>
        </w:rPr>
        <w:t xml:space="preserve"> v </w:t>
      </w:r>
      <w:r w:rsidRPr="00206E00">
        <w:rPr>
          <w:b/>
        </w:rPr>
        <w:t>EÚ</w:t>
      </w:r>
    </w:p>
    <w:p w:rsidRPr="00206E00" w:rsidR="00086340" w:rsidP="00FF4C0E" w:rsidRDefault="00086340"/>
    <w:p w:rsidRPr="00206E00" w:rsidR="00CE04D9" w:rsidP="00FF4C0E" w:rsidRDefault="00CE04D9"/>
    <w:p w:rsidRPr="00206E00" w:rsidR="00086340" w:rsidP="00FF4C0E" w:rsidRDefault="004D038E">
      <w:pPr>
        <w:jc w:val="center"/>
      </w:pPr>
      <w:r w:rsidRPr="00206E00">
        <w:rPr>
          <w:b/>
          <w:sz w:val="28"/>
        </w:rPr>
        <w:t>STANOVISKO</w:t>
      </w:r>
      <w:r w:rsidRPr="00206E00">
        <w:rPr>
          <w:b/>
          <w:sz w:val="28"/>
        </w:rPr>
        <w:br/>
      </w:r>
      <w:r w:rsidRPr="00206E00">
        <w:rPr>
          <w:b/>
        </w:rPr>
        <w:br/>
      </w:r>
      <w:r w:rsidRPr="00206E00" w:rsidR="00ED1D93">
        <w:t>Európsky hospodársky a sociálny výbor</w:t>
      </w:r>
      <w:r w:rsidRPr="00206E00" w:rsidR="00ED1D93">
        <w:br/>
      </w:r>
      <w:r w:rsidRPr="00206E00">
        <w:rPr>
          <w:b/>
        </w:rPr>
        <w:br/>
        <w:t>Požiadavky na udržateľnosť batérií</w:t>
      </w:r>
      <w:r w:rsidRPr="00206E00" w:rsidR="00D660AE">
        <w:rPr>
          <w:b/>
        </w:rPr>
        <w:t xml:space="preserve"> v </w:t>
      </w:r>
      <w:r w:rsidRPr="00206E00">
        <w:rPr>
          <w:b/>
        </w:rPr>
        <w:t>EÚ</w:t>
      </w:r>
    </w:p>
    <w:p w:rsidRPr="00206E00" w:rsidR="00086340" w:rsidRDefault="00086340">
      <w:pPr>
        <w:jc w:val="center"/>
      </w:pPr>
      <w:r w:rsidRPr="00206E00">
        <w:t>[COM(2020) 798 final]</w:t>
      </w:r>
    </w:p>
    <w:p w:rsidRPr="00206E00" w:rsidR="00086340" w:rsidRDefault="00086340">
      <w:pPr>
        <w:jc w:val="center"/>
      </w:pPr>
    </w:p>
    <w:p w:rsidRPr="00206E00" w:rsidR="00086340" w:rsidRDefault="00086340">
      <w:pPr>
        <w:jc w:val="center"/>
        <w:rPr>
          <w:b/>
        </w:rPr>
      </w:pPr>
      <w:r w:rsidRPr="00206E00">
        <w:t xml:space="preserve">Spravodajca: </w:t>
      </w:r>
      <w:r w:rsidRPr="00206E00">
        <w:rPr>
          <w:b/>
        </w:rPr>
        <w:t>Bruno CHOIX</w:t>
      </w:r>
    </w:p>
    <w:p w:rsidRPr="00206E00" w:rsidR="00086340" w:rsidRDefault="00086340">
      <w:pPr>
        <w:jc w:val="center"/>
        <w:rPr>
          <w:b/>
        </w:rPr>
      </w:pPr>
      <w:r w:rsidRPr="00206E00">
        <w:t xml:space="preserve">Pomocný spravodajca: </w:t>
      </w:r>
      <w:r w:rsidRPr="00206E00">
        <w:rPr>
          <w:b/>
        </w:rPr>
        <w:t>Franck UHLIG</w:t>
      </w:r>
    </w:p>
    <w:p w:rsidRPr="00206E00" w:rsidR="00086340" w:rsidRDefault="00086340"/>
    <w:p w:rsidRPr="00206E00" w:rsidR="00086340" w:rsidRDefault="00086340"/>
    <w:p w:rsidRPr="00206E00" w:rsidR="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 w:rsidRPr="00206E00" w:rsidR="00ED1D93" w:rsidP="00ED1D93" w:rsidRDefault="00ED1D93">
      <w:pPr>
        <w:jc w:val="center"/>
      </w:pPr>
    </w:p>
    <w:p w:rsidRPr="00206E00" w:rsidR="00ED1D93" w:rsidP="00ED1D93" w:rsidRDefault="00ED1D93">
      <w:pPr>
        <w:jc w:val="center"/>
      </w:pPr>
    </w:p>
    <w:p w:rsidRPr="00206E00" w:rsidR="00ED1D93" w:rsidP="00ED1D93" w:rsidRDefault="00ED1D93">
      <w:pPr>
        <w:jc w:val="center"/>
      </w:pPr>
    </w:p>
    <w:p w:rsidRPr="00206E00" w:rsidR="00ED1D93" w:rsidP="00ED1D93" w:rsidRDefault="00ED1D93">
      <w:pPr>
        <w:jc w:val="center"/>
      </w:pPr>
    </w:p>
    <w:p w:rsidRPr="00206E00" w:rsidR="00ED1D93" w:rsidP="00ED1D93" w:rsidRDefault="00ED1D93">
      <w:pPr>
        <w:jc w:val="center"/>
      </w:pPr>
    </w:p>
    <w:p w:rsidRPr="00206E00" w:rsidR="00ED1D93" w:rsidP="00ED1D93" w:rsidRDefault="00ED1D93">
      <w:pPr>
        <w:jc w:val="center"/>
      </w:pPr>
    </w:p>
    <w:p w:rsidRPr="00206E00" w:rsidR="00ED1D93" w:rsidP="00ED1D93" w:rsidRDefault="00ED1D93"/>
    <w:p w:rsidRPr="00206E00" w:rsidR="00086340" w:rsidP="00ED1D93" w:rsidRDefault="00086340">
      <w:pPr>
        <w:sectPr w:rsidRPr="00206E00" w:rsidR="00086340" w:rsidSect="00206E00">
          <w:footerReference w:type="default" r:id="rId8"/>
          <w:pgSz w:w="11907" w:h="16839" w:code="9"/>
          <w:pgMar w:top="1417" w:right="1417" w:bottom="1417" w:left="1417" w:header="709" w:footer="709" w:gutter="0"/>
          <w:pgNumType w:start="1"/>
          <w:cols w:space="720"/>
          <w:docGrid w:linePitch="299"/>
        </w:sectPr>
      </w:pPr>
    </w:p>
    <w:p w:rsidRPr="00206E00" w:rsidR="00086340" w:rsidRDefault="00086340">
      <w:pPr>
        <w:tabs>
          <w:tab w:val="left" w:pos="3119"/>
        </w:tabs>
        <w:ind w:firstLine="142"/>
      </w:pPr>
    </w:p>
    <w:tbl>
      <w:tblPr>
        <w:tblW w:w="5000" w:type="pct"/>
        <w:tblLook w:val="04A0" w:firstRow="1" w:lastRow="0" w:firstColumn="1" w:lastColumn="0" w:noHBand="0" w:noVBand="1"/>
      </w:tblPr>
      <w:tblGrid>
        <w:gridCol w:w="3292"/>
        <w:gridCol w:w="5997"/>
      </w:tblGrid>
      <w:tr w:rsidRPr="00206E00" w:rsidR="00CE04D9" w:rsidTr="00755325">
        <w:trPr>
          <w:trHeight w:val="251"/>
        </w:trPr>
        <w:tc>
          <w:tcPr>
            <w:tcW w:w="3119" w:type="dxa"/>
          </w:tcPr>
          <w:p w:rsidRPr="00206E00" w:rsidR="00CE04D9" w:rsidRDefault="00FC590E">
            <w:pPr>
              <w:jc w:val="left"/>
            </w:pPr>
            <w:r w:rsidRPr="00206E00">
              <w:t>Konzultácia</w:t>
            </w:r>
          </w:p>
        </w:tc>
        <w:tc>
          <w:tcPr>
            <w:tcW w:w="5683" w:type="dxa"/>
          </w:tcPr>
          <w:p w:rsidRPr="00206E00" w:rsidR="00CE04D9" w:rsidP="00206E00" w:rsidRDefault="00206E00">
            <w:pPr>
              <w:jc w:val="left"/>
            </w:pPr>
            <w:r w:rsidRPr="00206E00">
              <w:rPr>
                <w:color w:val="000000"/>
                <w:shd w:val="clear" w:color="auto" w:fill="DFDFDF"/>
              </w:rPr>
              <w:t>Európsky parlamen</w:t>
            </w:r>
            <w:r w:rsidRPr="00206E00">
              <w:rPr>
                <w:color w:val="000000"/>
                <w:shd w:val="clear" w:color="auto" w:fill="DFDFDF"/>
              </w:rPr>
              <w:t>t</w:t>
            </w:r>
            <w:r w:rsidRPr="00206E00" w:rsidR="00CE04D9">
              <w:t xml:space="preserve">, </w:t>
            </w:r>
            <w:r>
              <w:t>18</w:t>
            </w:r>
            <w:r w:rsidRPr="00206E00" w:rsidR="00CE04D9">
              <w:t>/</w:t>
            </w:r>
            <w:r>
              <w:t>0</w:t>
            </w:r>
            <w:r w:rsidRPr="00206E00" w:rsidR="00CE04D9">
              <w:t>1</w:t>
            </w:r>
            <w:r>
              <w:t>/2021</w:t>
            </w:r>
          </w:p>
        </w:tc>
      </w:tr>
      <w:tr w:rsidRPr="00206E00" w:rsidR="00CE04D9" w:rsidTr="00755325">
        <w:trPr>
          <w:trHeight w:val="251"/>
        </w:trPr>
        <w:tc>
          <w:tcPr>
            <w:tcW w:w="3119" w:type="dxa"/>
          </w:tcPr>
          <w:p w:rsidRPr="00206E00" w:rsidR="00CE04D9" w:rsidRDefault="00CE04D9">
            <w:pPr>
              <w:jc w:val="left"/>
            </w:pPr>
            <w:r w:rsidRPr="00206E00">
              <w:t>Právny základ</w:t>
            </w:r>
          </w:p>
        </w:tc>
        <w:tc>
          <w:tcPr>
            <w:tcW w:w="5683" w:type="dxa"/>
          </w:tcPr>
          <w:p w:rsidRPr="00206E00" w:rsidR="00CE04D9" w:rsidRDefault="00B00D23">
            <w:pPr>
              <w:jc w:val="left"/>
            </w:pPr>
            <w:r w:rsidRPr="00206E00">
              <w:t>článok </w:t>
            </w:r>
            <w:r w:rsidRPr="00206E00" w:rsidR="00CE04D9">
              <w:t>304 Zmluvy</w:t>
            </w:r>
            <w:r w:rsidRPr="00206E00" w:rsidR="00D660AE">
              <w:t xml:space="preserve"> o </w:t>
            </w:r>
            <w:r w:rsidRPr="00206E00" w:rsidR="00CE04D9">
              <w:t>fungovaní Európskej únie</w:t>
            </w:r>
          </w:p>
        </w:tc>
      </w:tr>
      <w:tr w:rsidRPr="00206E00" w:rsidR="00CE04D9" w:rsidTr="00755325">
        <w:trPr>
          <w:trHeight w:val="250"/>
        </w:trPr>
        <w:tc>
          <w:tcPr>
            <w:tcW w:w="3119" w:type="dxa"/>
          </w:tcPr>
          <w:p w:rsidRPr="00206E00" w:rsidR="00CE04D9" w:rsidRDefault="00CE04D9">
            <w:pPr>
              <w:jc w:val="left"/>
              <w:rPr>
                <w:sz w:val="20"/>
              </w:rPr>
            </w:pPr>
          </w:p>
        </w:tc>
        <w:tc>
          <w:tcPr>
            <w:tcW w:w="5683" w:type="dxa"/>
          </w:tcPr>
          <w:p w:rsidRPr="00206E00" w:rsidR="00CE04D9" w:rsidRDefault="00CE04D9">
            <w:pPr>
              <w:jc w:val="left"/>
              <w:rPr>
                <w:sz w:val="20"/>
              </w:rPr>
            </w:pPr>
          </w:p>
        </w:tc>
      </w:tr>
      <w:tr w:rsidRPr="00206E00" w:rsidR="00CE04D9" w:rsidTr="00693F40">
        <w:tc>
          <w:tcPr>
            <w:tcW w:w="3119" w:type="dxa"/>
          </w:tcPr>
          <w:p w:rsidRPr="00206E00" w:rsidR="00CE04D9" w:rsidRDefault="00CE04D9">
            <w:pPr>
              <w:jc w:val="left"/>
            </w:pPr>
            <w:r w:rsidRPr="00206E00">
              <w:t>Rozhodnutie plenárneho zhromaždenia</w:t>
            </w:r>
          </w:p>
        </w:tc>
        <w:tc>
          <w:tcPr>
            <w:tcW w:w="5683" w:type="dxa"/>
            <w:vAlign w:val="bottom"/>
          </w:tcPr>
          <w:p w:rsidRPr="00206E00" w:rsidR="00CE04D9" w:rsidRDefault="00CE04D9">
            <w:pPr>
              <w:jc w:val="left"/>
            </w:pPr>
            <w:r w:rsidRPr="00206E00">
              <w:t>01/12/2020</w:t>
            </w:r>
          </w:p>
        </w:tc>
      </w:tr>
      <w:tr w:rsidRPr="00206E00" w:rsidR="00CE04D9" w:rsidTr="00755325">
        <w:tc>
          <w:tcPr>
            <w:tcW w:w="3119" w:type="dxa"/>
          </w:tcPr>
          <w:p w:rsidRPr="00206E00" w:rsidR="00CE04D9" w:rsidRDefault="00CE04D9">
            <w:pPr>
              <w:jc w:val="left"/>
              <w:rPr>
                <w:sz w:val="20"/>
              </w:rPr>
            </w:pPr>
          </w:p>
        </w:tc>
        <w:tc>
          <w:tcPr>
            <w:tcW w:w="5683" w:type="dxa"/>
          </w:tcPr>
          <w:p w:rsidRPr="00206E00" w:rsidR="00CE04D9" w:rsidRDefault="00CE04D9">
            <w:pPr>
              <w:jc w:val="left"/>
              <w:rPr>
                <w:sz w:val="20"/>
              </w:rPr>
            </w:pPr>
          </w:p>
        </w:tc>
      </w:tr>
      <w:tr w:rsidRPr="00206E00" w:rsidR="00CE04D9" w:rsidTr="00755325">
        <w:tc>
          <w:tcPr>
            <w:tcW w:w="3119" w:type="dxa"/>
          </w:tcPr>
          <w:p w:rsidRPr="00206E00" w:rsidR="00CE04D9" w:rsidRDefault="00CE04D9">
            <w:pPr>
              <w:tabs>
                <w:tab w:val="left" w:pos="2120"/>
              </w:tabs>
              <w:jc w:val="left"/>
            </w:pPr>
            <w:r w:rsidRPr="00206E00">
              <w:t>Príslušná sekcia</w:t>
            </w:r>
          </w:p>
        </w:tc>
        <w:tc>
          <w:tcPr>
            <w:tcW w:w="5683" w:type="dxa"/>
          </w:tcPr>
          <w:p w:rsidRPr="00206E00" w:rsidR="00CE04D9" w:rsidRDefault="00CE04D9">
            <w:pPr>
              <w:jc w:val="left"/>
            </w:pPr>
            <w:r w:rsidRPr="00206E00">
              <w:t>poradná komisia pre priemyselné zmeny (CCMI)</w:t>
            </w:r>
          </w:p>
        </w:tc>
      </w:tr>
      <w:tr w:rsidRPr="00206E00" w:rsidR="00CE04D9" w:rsidTr="00755325">
        <w:tc>
          <w:tcPr>
            <w:tcW w:w="3119" w:type="dxa"/>
          </w:tcPr>
          <w:p w:rsidRPr="00206E00" w:rsidR="00CE04D9" w:rsidRDefault="00CE04D9">
            <w:pPr>
              <w:jc w:val="left"/>
            </w:pPr>
            <w:r w:rsidRPr="00206E00">
              <w:t>Prijaté</w:t>
            </w:r>
            <w:r w:rsidRPr="00206E00" w:rsidR="00D660AE">
              <w:t xml:space="preserve"> v </w:t>
            </w:r>
            <w:r w:rsidRPr="00206E00">
              <w:t>sekcii</w:t>
            </w:r>
          </w:p>
        </w:tc>
        <w:tc>
          <w:tcPr>
            <w:tcW w:w="5683" w:type="dxa"/>
          </w:tcPr>
          <w:p w:rsidRPr="00206E00" w:rsidR="00CE04D9" w:rsidRDefault="00693643">
            <w:pPr>
              <w:jc w:val="left"/>
            </w:pPr>
            <w:r w:rsidRPr="00206E00">
              <w:t>05/03/2021</w:t>
            </w:r>
          </w:p>
        </w:tc>
      </w:tr>
      <w:tr w:rsidRPr="00206E00" w:rsidR="00CE04D9" w:rsidTr="00755325">
        <w:tc>
          <w:tcPr>
            <w:tcW w:w="3119" w:type="dxa"/>
          </w:tcPr>
          <w:p w:rsidRPr="00206E00" w:rsidR="00CE04D9" w:rsidRDefault="00CE04D9">
            <w:pPr>
              <w:jc w:val="left"/>
            </w:pPr>
            <w:r w:rsidRPr="00206E00">
              <w:t>Prijaté</w:t>
            </w:r>
            <w:r w:rsidRPr="00206E00" w:rsidR="00D660AE">
              <w:t xml:space="preserve"> v </w:t>
            </w:r>
            <w:r w:rsidRPr="00206E00">
              <w:t>pléne</w:t>
            </w:r>
          </w:p>
        </w:tc>
        <w:tc>
          <w:tcPr>
            <w:tcW w:w="5683" w:type="dxa"/>
          </w:tcPr>
          <w:p w:rsidRPr="00206E00" w:rsidR="00CE04D9" w:rsidP="00ED1D93" w:rsidRDefault="00ED1D93">
            <w:pPr>
              <w:jc w:val="left"/>
            </w:pPr>
            <w:r w:rsidRPr="00206E00">
              <w:t>24</w:t>
            </w:r>
            <w:r w:rsidRPr="00206E00" w:rsidR="00CE04D9">
              <w:t>/</w:t>
            </w:r>
            <w:r w:rsidRPr="00206E00">
              <w:t>03</w:t>
            </w:r>
            <w:r w:rsidRPr="00206E00" w:rsidR="00CE04D9">
              <w:t>/</w:t>
            </w:r>
            <w:r w:rsidRPr="00206E00">
              <w:t>2021</w:t>
            </w:r>
          </w:p>
        </w:tc>
      </w:tr>
      <w:tr w:rsidRPr="00206E00" w:rsidR="00CE04D9" w:rsidTr="00755325">
        <w:tc>
          <w:tcPr>
            <w:tcW w:w="3119" w:type="dxa"/>
          </w:tcPr>
          <w:p w:rsidRPr="00206E00" w:rsidR="00CE04D9" w:rsidRDefault="00CE04D9">
            <w:pPr>
              <w:jc w:val="left"/>
            </w:pPr>
            <w:r w:rsidRPr="00206E00">
              <w:t>Plenárne zasadnutie č.</w:t>
            </w:r>
          </w:p>
        </w:tc>
        <w:tc>
          <w:tcPr>
            <w:tcW w:w="5683" w:type="dxa"/>
          </w:tcPr>
          <w:p w:rsidRPr="00206E00" w:rsidR="00CE04D9" w:rsidRDefault="00ED1D93">
            <w:pPr>
              <w:jc w:val="left"/>
            </w:pPr>
            <w:r w:rsidRPr="00206E00">
              <w:t>559</w:t>
            </w:r>
          </w:p>
        </w:tc>
      </w:tr>
      <w:tr w:rsidRPr="00206E00" w:rsidR="00CE04D9" w:rsidTr="00755325">
        <w:tc>
          <w:tcPr>
            <w:tcW w:w="3119" w:type="dxa"/>
          </w:tcPr>
          <w:p w:rsidRPr="00206E00" w:rsidR="00CE04D9" w:rsidRDefault="00CE04D9">
            <w:pPr>
              <w:jc w:val="left"/>
            </w:pPr>
            <w:r w:rsidRPr="00206E00">
              <w:t>Výsledok hlasovania</w:t>
            </w:r>
            <w:r w:rsidRPr="00206E00">
              <w:br/>
              <w:t>(za/proti/zdržalo sa)</w:t>
            </w:r>
          </w:p>
        </w:tc>
        <w:tc>
          <w:tcPr>
            <w:tcW w:w="5683" w:type="dxa"/>
            <w:vAlign w:val="bottom"/>
          </w:tcPr>
          <w:p w:rsidRPr="00206E00" w:rsidR="00CE04D9" w:rsidP="00206E00" w:rsidRDefault="00F05ECE">
            <w:pPr>
              <w:jc w:val="left"/>
            </w:pPr>
            <w:r w:rsidRPr="00206E00">
              <w:t>25</w:t>
            </w:r>
            <w:r w:rsidR="00206E00">
              <w:t>6</w:t>
            </w:r>
            <w:r w:rsidR="005335B9">
              <w:t>/0</w:t>
            </w:r>
            <w:r w:rsidRPr="00206E00">
              <w:t>/</w:t>
            </w:r>
            <w:r w:rsidR="00206E00">
              <w:t>4</w:t>
            </w:r>
          </w:p>
        </w:tc>
      </w:tr>
    </w:tbl>
    <w:p w:rsidRPr="00206E00" w:rsidR="00086340" w:rsidRDefault="00086340">
      <w:r w:rsidRPr="00206E00">
        <w:br w:type="page"/>
      </w:r>
    </w:p>
    <w:p w:rsidRPr="00206E00" w:rsidR="00086340" w:rsidRDefault="00086340">
      <w:pPr>
        <w:pStyle w:val="Heading1"/>
      </w:pPr>
      <w:r w:rsidRPr="00206E00">
        <w:rPr>
          <w:b/>
        </w:rPr>
        <w:lastRenderedPageBreak/>
        <w:t>Závery</w:t>
      </w:r>
      <w:r w:rsidRPr="00206E00" w:rsidR="00D660AE">
        <w:rPr>
          <w:b/>
        </w:rPr>
        <w:t xml:space="preserve"> a </w:t>
      </w:r>
      <w:r w:rsidRPr="00206E00">
        <w:rPr>
          <w:b/>
        </w:rPr>
        <w:t>odporúčania</w:t>
      </w:r>
    </w:p>
    <w:p w:rsidRPr="00206E00" w:rsidR="00086340" w:rsidP="00755325" w:rsidRDefault="00086340"/>
    <w:p w:rsidRPr="00206E00" w:rsidR="00086340" w:rsidRDefault="00086340">
      <w:pPr>
        <w:pStyle w:val="Heading2"/>
      </w:pPr>
      <w:r w:rsidRPr="00206E00">
        <w:t>Európsky hospodársky</w:t>
      </w:r>
      <w:r w:rsidRPr="00206E00" w:rsidR="00D660AE">
        <w:t xml:space="preserve"> a </w:t>
      </w:r>
      <w:r w:rsidRPr="00206E00">
        <w:t>sociálny výbor (EHSV) podporuje opatrenia stanovené</w:t>
      </w:r>
      <w:r w:rsidRPr="00206E00" w:rsidR="00D660AE">
        <w:t xml:space="preserve"> v </w:t>
      </w:r>
      <w:r w:rsidRPr="00206E00" w:rsidR="00B00D23">
        <w:t>nariadení [COM(2020) 798 </w:t>
      </w:r>
      <w:r w:rsidRPr="00206E00">
        <w:t>final</w:t>
      </w:r>
      <w:r w:rsidRPr="00206E00" w:rsidR="00B00D23">
        <w:t> – </w:t>
      </w:r>
      <w:r w:rsidRPr="00206E00">
        <w:t>2020/0353(COD)], ktoré navrhla Európska komisia.</w:t>
      </w:r>
    </w:p>
    <w:p w:rsidRPr="00206E00" w:rsidR="00086340" w:rsidRDefault="00086340"/>
    <w:p w:rsidRPr="00206E00" w:rsidR="0080018B" w:rsidRDefault="00B00D23">
      <w:pPr>
        <w:pStyle w:val="Heading2"/>
      </w:pPr>
      <w:r w:rsidRPr="00206E00">
        <w:t>EHSV </w:t>
      </w:r>
      <w:r w:rsidRPr="00206E00" w:rsidR="0080018B">
        <w:t>sa domnieva, že zabránenie fragmentácii vnútorného trhu prostredníctvom možných odlišných prístupov zo strany členských štátov je kľúčová otázka, ktorou by sa mali zaoberať všetky zainteresované strany.</w:t>
      </w:r>
    </w:p>
    <w:p w:rsidRPr="00206E00" w:rsidR="00360982" w:rsidP="00755325" w:rsidRDefault="00360982"/>
    <w:p w:rsidRPr="00206E00" w:rsidR="00086340" w:rsidRDefault="00B00D23">
      <w:pPr>
        <w:pStyle w:val="Heading2"/>
      </w:pPr>
      <w:r w:rsidRPr="00206E00">
        <w:t>EHSV </w:t>
      </w:r>
      <w:r w:rsidRPr="00206E00" w:rsidR="00086340">
        <w:t>žiada, aby sa vymedzili presnejšie</w:t>
      </w:r>
      <w:r w:rsidRPr="00206E00" w:rsidR="00D660AE">
        <w:t xml:space="preserve"> a </w:t>
      </w:r>
      <w:r w:rsidRPr="00206E00" w:rsidR="00086340">
        <w:t>operatívnejšie mechanizmy</w:t>
      </w:r>
      <w:r w:rsidRPr="00206E00" w:rsidR="00D660AE">
        <w:t xml:space="preserve"> a </w:t>
      </w:r>
      <w:r w:rsidRPr="00206E00" w:rsidR="00086340">
        <w:t>nástroje riadenia, ktoré by umožnili vykonávanie nového nariadenia so zapojením zainteresovaných strán.</w:t>
      </w:r>
    </w:p>
    <w:p w:rsidRPr="00206E00" w:rsidR="00086340" w:rsidRDefault="00086340"/>
    <w:p w:rsidRPr="00206E00" w:rsidR="00086340" w:rsidRDefault="00086340">
      <w:pPr>
        <w:pStyle w:val="Heading2"/>
      </w:pPr>
      <w:r w:rsidRPr="00206E00">
        <w:rPr>
          <w:color w:val="000000"/>
        </w:rPr>
        <w:t>EHSV</w:t>
      </w:r>
      <w:r w:rsidRPr="00206E00" w:rsidR="00B00D23">
        <w:t> </w:t>
      </w:r>
      <w:r w:rsidRPr="00206E00">
        <w:t>navrhuje reagovať na tieto výzvy ďalším posilňovaním úlohy</w:t>
      </w:r>
      <w:r w:rsidRPr="00206E00" w:rsidR="00D660AE">
        <w:t xml:space="preserve"> a </w:t>
      </w:r>
      <w:r w:rsidRPr="00206E00">
        <w:t>zdroj</w:t>
      </w:r>
      <w:r w:rsidRPr="00206E00" w:rsidR="00C0617A">
        <w:t>ov Európskej chemickej agentúry </w:t>
      </w:r>
      <w:r w:rsidRPr="00206E00">
        <w:t>(ECHA).</w:t>
      </w:r>
    </w:p>
    <w:p w:rsidRPr="00206E00" w:rsidR="00086340" w:rsidRDefault="00086340"/>
    <w:p w:rsidRPr="00206E00" w:rsidR="00086340" w:rsidRDefault="003C1495">
      <w:pPr>
        <w:pStyle w:val="Heading2"/>
      </w:pPr>
      <w:r w:rsidRPr="00206E00">
        <w:t>Pokiaľ ide</w:t>
      </w:r>
      <w:r w:rsidRPr="00206E00" w:rsidR="00D660AE">
        <w:t xml:space="preserve"> o </w:t>
      </w:r>
      <w:r w:rsidRPr="00206E00">
        <w:t>otázky týkajúce sa zdravia, bezpečnosti</w:t>
      </w:r>
      <w:r w:rsidRPr="00206E00" w:rsidR="00D660AE">
        <w:t xml:space="preserve"> a </w:t>
      </w:r>
      <w:r w:rsidRPr="00206E00">
        <w:t>pracovných podmienok pri výrobe, ako aj recyklácie</w:t>
      </w:r>
      <w:r w:rsidRPr="00206E00" w:rsidR="00D660AE">
        <w:t xml:space="preserve"> a </w:t>
      </w:r>
      <w:r w:rsidRPr="00206E00">
        <w:t xml:space="preserve">repasovania batérií, </w:t>
      </w:r>
      <w:r w:rsidRPr="00206E00">
        <w:rPr>
          <w:color w:val="000000"/>
        </w:rPr>
        <w:t>EHSV</w:t>
      </w:r>
      <w:r w:rsidRPr="00206E00">
        <w:t xml:space="preserve"> navrhuje posilniť úlohu Európskej agentúry pre bezpečnosť</w:t>
      </w:r>
      <w:r w:rsidRPr="00206E00" w:rsidR="00D660AE">
        <w:t xml:space="preserve"> a </w:t>
      </w:r>
      <w:r w:rsidRPr="00206E00">
        <w:t>ochranu zdrav</w:t>
      </w:r>
      <w:r w:rsidRPr="00206E00" w:rsidR="00C0617A">
        <w:t>ia pri práci </w:t>
      </w:r>
      <w:r w:rsidRPr="00206E00">
        <w:t>(EU-OSHA).</w:t>
      </w:r>
    </w:p>
    <w:p w:rsidRPr="00206E00" w:rsidR="00086340" w:rsidRDefault="00086340"/>
    <w:p w:rsidRPr="00206E00" w:rsidR="00086340" w:rsidRDefault="00086340">
      <w:pPr>
        <w:pStyle w:val="Heading2"/>
      </w:pPr>
      <w:r w:rsidRPr="00206E00">
        <w:t>Pokiaľ ide</w:t>
      </w:r>
      <w:r w:rsidRPr="00206E00" w:rsidR="00D660AE">
        <w:t xml:space="preserve"> o </w:t>
      </w:r>
      <w:r w:rsidRPr="00206E00">
        <w:t>vykonávanie povinnosti náležitej starostlivosti pri monitorovaní dodávateľského reťazca</w:t>
      </w:r>
      <w:r w:rsidRPr="00206E00" w:rsidR="00D660AE">
        <w:t xml:space="preserve"> v </w:t>
      </w:r>
      <w:r w:rsidRPr="00206E00">
        <w:t xml:space="preserve">oblasti batérií, </w:t>
      </w:r>
      <w:r w:rsidRPr="00206E00">
        <w:rPr>
          <w:color w:val="000000"/>
        </w:rPr>
        <w:t>EHSV</w:t>
      </w:r>
      <w:r w:rsidRPr="00206E00">
        <w:t xml:space="preserve"> požaduje úplnú transparentnosť pri implementácii tohto systému dohľadu.</w:t>
      </w:r>
    </w:p>
    <w:p w:rsidRPr="00206E00" w:rsidR="00086340" w:rsidRDefault="00086340"/>
    <w:p w:rsidRPr="00206E00" w:rsidR="00086340" w:rsidRDefault="00086340">
      <w:pPr>
        <w:pStyle w:val="Heading2"/>
      </w:pPr>
      <w:r w:rsidRPr="00206E00">
        <w:t>Recyklácia, renovácia</w:t>
      </w:r>
      <w:r w:rsidRPr="00206E00" w:rsidR="00D660AE">
        <w:t xml:space="preserve"> a </w:t>
      </w:r>
      <w:r w:rsidRPr="00206E00">
        <w:t>opätovné použitie umožňujú zabezpečiť dodávateľský hodnotový reťazec. Podpora výskumu</w:t>
      </w:r>
      <w:r w:rsidRPr="00206E00" w:rsidR="00D660AE">
        <w:t xml:space="preserve"> a </w:t>
      </w:r>
      <w:r w:rsidRPr="00206E00">
        <w:t>vývoja</w:t>
      </w:r>
      <w:r w:rsidRPr="00206E00" w:rsidR="00D660AE">
        <w:t xml:space="preserve"> v </w:t>
      </w:r>
      <w:r w:rsidRPr="00206E00">
        <w:t>oblasti ekodizajnu je nevyhnutná. EHSV navrhuje, aby sa to uskutočnilo vo forme dôležitého projektu spoločného európskeho záujmu.</w:t>
      </w:r>
    </w:p>
    <w:p w:rsidRPr="00206E00" w:rsidR="00086340" w:rsidRDefault="00086340"/>
    <w:p w:rsidRPr="00206E00" w:rsidR="00086340" w:rsidRDefault="00086340">
      <w:pPr>
        <w:pStyle w:val="Heading2"/>
      </w:pPr>
      <w:r w:rsidRPr="00206E00">
        <w:t>Pokiaľ ide</w:t>
      </w:r>
      <w:r w:rsidRPr="00206E00" w:rsidR="00D660AE">
        <w:t xml:space="preserve"> o </w:t>
      </w:r>
      <w:r w:rsidRPr="00206E00">
        <w:t>otázky týkajúce sa pracovných miest</w:t>
      </w:r>
      <w:r w:rsidRPr="00206E00" w:rsidR="00D660AE">
        <w:t xml:space="preserve"> a </w:t>
      </w:r>
      <w:r w:rsidRPr="00206E00">
        <w:t xml:space="preserve">zručností zamerané na podporu rozvoja európskeho priemyselného sektora pre oblasť udržateľných batérií, </w:t>
      </w:r>
      <w:r w:rsidRPr="00206E00">
        <w:rPr>
          <w:color w:val="000000"/>
        </w:rPr>
        <w:t>EHSV</w:t>
      </w:r>
      <w:r w:rsidRPr="00206E00">
        <w:t xml:space="preserve"> navrhuje rozšíriť</w:t>
      </w:r>
      <w:r w:rsidRPr="00206E00" w:rsidR="00D660AE">
        <w:t xml:space="preserve"> a </w:t>
      </w:r>
      <w:r w:rsidRPr="00206E00">
        <w:t>posilniť úlohu Európskeho strediska pre rozvoj odborného vzdelávania (Cedefop), ako aj úlohu príslušných európskych výborov pre medziodvetvový dialóg prostredníctvom spravodlivej transformácie začlenenej do Európskej zelenej dohody.</w:t>
      </w:r>
    </w:p>
    <w:p w:rsidRPr="00206E00" w:rsidR="00086340" w:rsidRDefault="00086340"/>
    <w:p w:rsidRPr="00206E00" w:rsidR="00086340" w:rsidRDefault="00B00D23">
      <w:pPr>
        <w:pStyle w:val="Heading2"/>
      </w:pPr>
      <w:r w:rsidRPr="00206E00">
        <w:t>EHSV </w:t>
      </w:r>
      <w:r w:rsidRPr="00206E00" w:rsidR="00086340">
        <w:t>sa</w:t>
      </w:r>
      <w:r w:rsidRPr="00206E00" w:rsidR="00D660AE">
        <w:t xml:space="preserve"> v </w:t>
      </w:r>
      <w:r w:rsidRPr="00206E00" w:rsidR="00086340">
        <w:t>súvislosti</w:t>
      </w:r>
      <w:r w:rsidRPr="00206E00" w:rsidR="00D660AE">
        <w:t xml:space="preserve"> s </w:t>
      </w:r>
      <w:r w:rsidRPr="00206E00" w:rsidR="00086340">
        <w:t>iniciatívou Komisie „Pakt pre zručnosti“</w:t>
      </w:r>
      <w:r w:rsidRPr="00206E00" w:rsidR="00D660AE">
        <w:t xml:space="preserve"> a </w:t>
      </w:r>
      <w:r w:rsidRPr="00206E00" w:rsidR="00086340">
        <w:t>európskymi projektmi ALBATTS, DRIVES</w:t>
      </w:r>
      <w:r w:rsidRPr="00206E00" w:rsidR="00D660AE">
        <w:t xml:space="preserve"> a </w:t>
      </w:r>
      <w:r w:rsidRPr="00206E00" w:rsidR="00086340">
        <w:t>COSME domnieva, že prioritou je najmä identifikovať</w:t>
      </w:r>
      <w:r w:rsidRPr="00206E00" w:rsidR="00D660AE">
        <w:t xml:space="preserve"> a </w:t>
      </w:r>
      <w:r w:rsidRPr="00206E00" w:rsidR="00086340">
        <w:t>zrealizovať vzdelávacie projekty</w:t>
      </w:r>
      <w:r w:rsidRPr="00206E00" w:rsidR="00D660AE">
        <w:t xml:space="preserve"> v </w:t>
      </w:r>
      <w:r w:rsidRPr="00206E00" w:rsidR="00086340">
        <w:t>oblasti ekodizajnu</w:t>
      </w:r>
      <w:r w:rsidRPr="00206E00" w:rsidR="00D660AE">
        <w:t xml:space="preserve"> a </w:t>
      </w:r>
      <w:r w:rsidRPr="00206E00" w:rsidR="00086340">
        <w:t>recyklácie batérií</w:t>
      </w:r>
      <w:r w:rsidRPr="00206E00" w:rsidR="00D660AE">
        <w:t xml:space="preserve"> s </w:t>
      </w:r>
      <w:r w:rsidRPr="00206E00" w:rsidR="00086340">
        <w:t>primeranými finančnými prostriedkami na zabezpečenie ich úspechu</w:t>
      </w:r>
      <w:r w:rsidRPr="00206E00" w:rsidR="00D660AE">
        <w:t xml:space="preserve"> s </w:t>
      </w:r>
      <w:r w:rsidRPr="00206E00" w:rsidR="00086340">
        <w:t>aktívnou účasťou sociálnych partnerov</w:t>
      </w:r>
      <w:r w:rsidRPr="00206E00" w:rsidR="00D660AE">
        <w:t xml:space="preserve"> a v </w:t>
      </w:r>
      <w:r w:rsidRPr="00206E00" w:rsidR="00086340">
        <w:t>spolupráci</w:t>
      </w:r>
      <w:r w:rsidRPr="00206E00" w:rsidR="00D660AE">
        <w:t xml:space="preserve"> s </w:t>
      </w:r>
      <w:r w:rsidRPr="00206E00" w:rsidR="00086340">
        <w:t>akýmikoľvek priamo súvisiacimi vnútroštátnymi mechanizmami alebo určitými oblasťami zamestnanosti.</w:t>
      </w:r>
    </w:p>
    <w:p w:rsidRPr="00206E00" w:rsidR="00086340" w:rsidRDefault="00086340"/>
    <w:p w:rsidRPr="00206E00" w:rsidR="00086340" w:rsidRDefault="00086340">
      <w:pPr>
        <w:pStyle w:val="Heading2"/>
        <w:rPr>
          <w:color w:val="000000"/>
        </w:rPr>
      </w:pPr>
      <w:r w:rsidRPr="00206E00">
        <w:t>V súlade so záväzkami prijatými EÚ</w:t>
      </w:r>
      <w:r w:rsidRPr="00206E00" w:rsidR="00D660AE">
        <w:t xml:space="preserve"> v </w:t>
      </w:r>
      <w:r w:rsidRPr="00206E00">
        <w:t>oblasti uhlíkovej neutrality EHSV navrhuje urýchlene zaviesť maximálne limity, pokiaľ ide</w:t>
      </w:r>
      <w:r w:rsidRPr="00206E00" w:rsidR="00D660AE">
        <w:t xml:space="preserve"> o </w:t>
      </w:r>
      <w:r w:rsidRPr="00206E00">
        <w:t>uhlíkovú stopu spojenú</w:t>
      </w:r>
      <w:r w:rsidRPr="00206E00" w:rsidR="00D660AE">
        <w:t xml:space="preserve"> s </w:t>
      </w:r>
      <w:r w:rsidRPr="00206E00">
        <w:t>výrobou batérií, ako aj</w:t>
      </w:r>
      <w:r w:rsidRPr="00206E00" w:rsidR="00D660AE">
        <w:t xml:space="preserve"> s </w:t>
      </w:r>
      <w:r w:rsidRPr="00206E00">
        <w:t>logistikou dodávok materiálu</w:t>
      </w:r>
      <w:r w:rsidRPr="00206E00" w:rsidR="00D660AE">
        <w:t xml:space="preserve"> a </w:t>
      </w:r>
      <w:r w:rsidRPr="00206E00">
        <w:rPr>
          <w:color w:val="000000"/>
        </w:rPr>
        <w:t>posilniť zdroje pridelené Komisiou na rýchly vývoj</w:t>
      </w:r>
      <w:r w:rsidRPr="00206E00" w:rsidR="00D660AE">
        <w:rPr>
          <w:color w:val="000000"/>
        </w:rPr>
        <w:t xml:space="preserve"> a </w:t>
      </w:r>
      <w:r w:rsidRPr="00206E00">
        <w:rPr>
          <w:color w:val="000000"/>
        </w:rPr>
        <w:t>implementáciu nástrojov na hodnotenie</w:t>
      </w:r>
      <w:r w:rsidRPr="00206E00" w:rsidR="00D660AE">
        <w:rPr>
          <w:color w:val="000000"/>
        </w:rPr>
        <w:t xml:space="preserve"> a </w:t>
      </w:r>
      <w:r w:rsidRPr="00206E00">
        <w:rPr>
          <w:color w:val="000000"/>
        </w:rPr>
        <w:t>monitorovanie uhlíkovej stopy</w:t>
      </w:r>
      <w:r w:rsidRPr="00206E00" w:rsidR="00D660AE">
        <w:rPr>
          <w:color w:val="000000"/>
        </w:rPr>
        <w:t xml:space="preserve"> v </w:t>
      </w:r>
      <w:r w:rsidRPr="00206E00">
        <w:rPr>
          <w:color w:val="000000"/>
        </w:rPr>
        <w:t>sektore batérií.</w:t>
      </w:r>
    </w:p>
    <w:p w:rsidRPr="00206E00" w:rsidR="00086340" w:rsidRDefault="00086340"/>
    <w:p w:rsidRPr="00206E00" w:rsidR="00086340" w:rsidRDefault="00B00D23">
      <w:pPr>
        <w:pStyle w:val="Heading2"/>
      </w:pPr>
      <w:r w:rsidRPr="00206E00">
        <w:lastRenderedPageBreak/>
        <w:t>EHSV </w:t>
      </w:r>
      <w:r w:rsidRPr="00206E00" w:rsidR="00086340">
        <w:t>považuje za potrebné stanoviť zodpovednosť výrobcu, ktorá bude</w:t>
      </w:r>
      <w:r w:rsidRPr="00206E00" w:rsidR="00D660AE">
        <w:t xml:space="preserve"> v </w:t>
      </w:r>
      <w:r w:rsidRPr="00206E00" w:rsidR="00086340">
        <w:t>súlade</w:t>
      </w:r>
      <w:r w:rsidRPr="00206E00" w:rsidR="00D660AE">
        <w:t xml:space="preserve"> s </w:t>
      </w:r>
      <w:r w:rsidRPr="00206E00" w:rsidR="00086340">
        <w:t>podporou ekodizajnu.</w:t>
      </w:r>
      <w:r w:rsidRPr="00206E00" w:rsidR="00D660AE">
        <w:t xml:space="preserve"> V </w:t>
      </w:r>
      <w:r w:rsidRPr="00206E00" w:rsidR="00086340">
        <w:t>tejto súvislosti sa javí ako nevyhnutné oddeliť koniec životnosti batérií od konca životnosti prístrojov, ktoré ich používajú.</w:t>
      </w:r>
    </w:p>
    <w:p w:rsidRPr="00206E00" w:rsidR="00086340" w:rsidRDefault="00086340"/>
    <w:p w:rsidRPr="00206E00" w:rsidR="00086340" w:rsidRDefault="00B00D23">
      <w:pPr>
        <w:pStyle w:val="Heading2"/>
      </w:pPr>
      <w:r w:rsidRPr="00206E00">
        <w:t>EHSV </w:t>
      </w:r>
      <w:r w:rsidRPr="00206E00" w:rsidR="00086340">
        <w:t>navrhuje, aby sa popri pojme „skončenie životnosti“ zaviedol aj pojem „skončenie použiteľnosti“</w:t>
      </w:r>
      <w:r w:rsidRPr="00206E00" w:rsidR="00D660AE">
        <w:t xml:space="preserve"> s </w:t>
      </w:r>
      <w:r w:rsidRPr="00206E00" w:rsidR="00086340">
        <w:t>cieľom podporiť opätovné použitie, obnovu alebo druhotné využitie</w:t>
      </w:r>
      <w:r w:rsidRPr="00206E00" w:rsidR="00D660AE">
        <w:t xml:space="preserve"> a </w:t>
      </w:r>
      <w:r w:rsidRPr="00206E00" w:rsidR="00086340">
        <w:t>recykláciu batérií.</w:t>
      </w:r>
    </w:p>
    <w:p w:rsidRPr="00206E00" w:rsidR="00086340" w:rsidP="00B00D23" w:rsidRDefault="00086340">
      <w:pPr>
        <w:jc w:val="left"/>
      </w:pPr>
    </w:p>
    <w:p w:rsidRPr="00206E00" w:rsidR="002677C7" w:rsidP="0008516E" w:rsidRDefault="002677C7">
      <w:pPr>
        <w:pStyle w:val="Heading2"/>
      </w:pPr>
      <w:r w:rsidRPr="00206E00">
        <w:t>Ustanovenia návrhu nariadenia týkajúce sa označovania by mali zahŕňať povinnosť lepšie informovať osoby</w:t>
      </w:r>
      <w:r w:rsidRPr="00206E00" w:rsidR="00D660AE">
        <w:t xml:space="preserve"> o </w:t>
      </w:r>
      <w:r w:rsidRPr="00206E00">
        <w:t>možných rizikách iných nebezpečných látok, než sú kadmium, olovo</w:t>
      </w:r>
      <w:r w:rsidRPr="00206E00" w:rsidR="00D660AE">
        <w:t xml:space="preserve"> a </w:t>
      </w:r>
      <w:r w:rsidRPr="00206E00">
        <w:t>ortuť, ako aj</w:t>
      </w:r>
      <w:r w:rsidRPr="00206E00" w:rsidR="00D660AE">
        <w:t xml:space="preserve"> o </w:t>
      </w:r>
      <w:r w:rsidRPr="00206E00">
        <w:t>iných rizikách súvisiacich</w:t>
      </w:r>
      <w:r w:rsidRPr="00206E00" w:rsidR="00D660AE">
        <w:t xml:space="preserve"> s </w:t>
      </w:r>
      <w:r w:rsidRPr="00206E00">
        <w:t>bezpečnosťou, aby sa mohli informovane rozhodnúť</w:t>
      </w:r>
      <w:r w:rsidRPr="00206E00" w:rsidR="00D660AE">
        <w:t xml:space="preserve"> a </w:t>
      </w:r>
      <w:r w:rsidRPr="00206E00">
        <w:t>lepšie používať batérie.</w:t>
      </w:r>
    </w:p>
    <w:p w:rsidRPr="00206E00" w:rsidR="002677C7" w:rsidP="00B00D23" w:rsidRDefault="002677C7">
      <w:pPr>
        <w:jc w:val="left"/>
      </w:pPr>
    </w:p>
    <w:p w:rsidRPr="00206E00" w:rsidR="00086340" w:rsidP="00755325" w:rsidRDefault="00086340">
      <w:pPr>
        <w:pStyle w:val="Heading1"/>
        <w:keepNext/>
        <w:keepLines/>
      </w:pPr>
      <w:r w:rsidRPr="00206E00">
        <w:rPr>
          <w:b/>
        </w:rPr>
        <w:t>Úvod</w:t>
      </w:r>
    </w:p>
    <w:p w:rsidRPr="00206E00" w:rsidR="00086340" w:rsidP="00755325" w:rsidRDefault="00086340">
      <w:pPr>
        <w:keepNext/>
        <w:keepLines/>
      </w:pPr>
    </w:p>
    <w:p w:rsidRPr="00206E00" w:rsidR="00086340" w:rsidRDefault="00086340">
      <w:pPr>
        <w:pStyle w:val="Heading2"/>
      </w:pPr>
      <w:r w:rsidRPr="00206E00">
        <w:t>Európska komisia predložila 10</w:t>
      </w:r>
      <w:r w:rsidRPr="00206E00" w:rsidR="00D660AE">
        <w:t>. decembra</w:t>
      </w:r>
      <w:r w:rsidRPr="00206E00" w:rsidR="00B00D23">
        <w:t> </w:t>
      </w:r>
      <w:r w:rsidRPr="00206E00">
        <w:t>2020 návrh nariadenia Európskeho parlamentu</w:t>
      </w:r>
      <w:r w:rsidRPr="00206E00" w:rsidR="00D660AE">
        <w:t xml:space="preserve"> a </w:t>
      </w:r>
      <w:r w:rsidRPr="00206E00" w:rsidR="00B00D23">
        <w:t>Rady [COM(2020) 798 </w:t>
      </w:r>
      <w:r w:rsidRPr="00206E00">
        <w:t>final</w:t>
      </w:r>
      <w:r w:rsidRPr="00206E00" w:rsidR="00B00D23">
        <w:t> – </w:t>
      </w:r>
      <w:r w:rsidRPr="00206E00">
        <w:t>2020/0353(COD)]</w:t>
      </w:r>
      <w:r w:rsidRPr="00206E00" w:rsidR="00D660AE">
        <w:t xml:space="preserve"> o </w:t>
      </w:r>
      <w:r w:rsidRPr="00206E00">
        <w:t>batériách</w:t>
      </w:r>
      <w:r w:rsidRPr="00206E00" w:rsidR="00D660AE">
        <w:t xml:space="preserve"> a </w:t>
      </w:r>
      <w:r w:rsidRPr="00206E00">
        <w:t>použitých batériách,</w:t>
      </w:r>
      <w:r w:rsidRPr="00206E00" w:rsidR="00D660AE">
        <w:t xml:space="preserve"> o </w:t>
      </w:r>
      <w:r w:rsidRPr="00206E00">
        <w:t>zrušení smernice 2006/66/ES zo 6</w:t>
      </w:r>
      <w:r w:rsidRPr="00206E00" w:rsidR="00D660AE">
        <w:t>. septembra</w:t>
      </w:r>
      <w:r w:rsidRPr="00206E00" w:rsidR="00B00D23">
        <w:t> </w:t>
      </w:r>
      <w:r w:rsidRPr="00206E00">
        <w:t>2006</w:t>
      </w:r>
      <w:r w:rsidRPr="00206E00" w:rsidR="00D660AE">
        <w:t xml:space="preserve"> o </w:t>
      </w:r>
      <w:r w:rsidRPr="00206E00">
        <w:t>batériách</w:t>
      </w:r>
      <w:r w:rsidRPr="00206E00" w:rsidR="00D660AE">
        <w:t xml:space="preserve"> a </w:t>
      </w:r>
      <w:r w:rsidRPr="00206E00">
        <w:t>akumulátoroch</w:t>
      </w:r>
      <w:r w:rsidRPr="00206E00" w:rsidR="00D660AE">
        <w:t xml:space="preserve"> a </w:t>
      </w:r>
      <w:r w:rsidRPr="00206E00">
        <w:t>použitých batériách</w:t>
      </w:r>
      <w:r w:rsidRPr="00206E00" w:rsidR="00D660AE">
        <w:t xml:space="preserve"> a </w:t>
      </w:r>
      <w:r w:rsidRPr="00206E00">
        <w:t>akumulátoroch</w:t>
      </w:r>
      <w:r w:rsidRPr="00206E00" w:rsidR="00D660AE">
        <w:t xml:space="preserve"> a o </w:t>
      </w:r>
      <w:r w:rsidRPr="00206E00" w:rsidR="00B00D23">
        <w:t>zmene nariadenia (EÚ) </w:t>
      </w:r>
      <w:r w:rsidRPr="00206E00">
        <w:t>2019/1020</w:t>
      </w:r>
      <w:r w:rsidRPr="00206E00" w:rsidR="00C0617A">
        <w:t> </w:t>
      </w:r>
      <w:r w:rsidRPr="00206E00" w:rsidR="00D660AE">
        <w:t>z </w:t>
      </w:r>
      <w:r w:rsidRPr="00206E00">
        <w:t>20</w:t>
      </w:r>
      <w:r w:rsidRPr="00206E00" w:rsidR="00D660AE">
        <w:t>. júna</w:t>
      </w:r>
      <w:r w:rsidRPr="00206E00" w:rsidR="00B00D23">
        <w:t> </w:t>
      </w:r>
      <w:r w:rsidRPr="00206E00">
        <w:t>2019</w:t>
      </w:r>
      <w:r w:rsidRPr="00206E00" w:rsidR="00D660AE">
        <w:t xml:space="preserve"> o </w:t>
      </w:r>
      <w:r w:rsidRPr="00206E00">
        <w:t>dohľade nad trhom</w:t>
      </w:r>
      <w:r w:rsidRPr="00206E00" w:rsidR="00D660AE">
        <w:t xml:space="preserve"> a </w:t>
      </w:r>
      <w:r w:rsidRPr="00206E00">
        <w:t>súlade výrobkov.</w:t>
      </w:r>
    </w:p>
    <w:p w:rsidRPr="00206E00" w:rsidR="00086340" w:rsidP="00755325" w:rsidRDefault="00086340">
      <w:pPr>
        <w:rPr>
          <w:shd w:val="clear" w:color="auto" w:fill="FFFFFF"/>
        </w:rPr>
      </w:pPr>
    </w:p>
    <w:p w:rsidRPr="00206E00" w:rsidR="00086340" w:rsidRDefault="00086340">
      <w:pPr>
        <w:pStyle w:val="Heading2"/>
        <w:rPr>
          <w:shd w:val="clear" w:color="auto" w:fill="FFFFFF"/>
        </w:rPr>
      </w:pPr>
      <w:r w:rsidRPr="00206E00">
        <w:rPr>
          <w:shd w:val="clear" w:color="auto" w:fill="FFFFFF"/>
        </w:rPr>
        <w:t>Cieľom navrhovaného nariadenia je vytvoriť rámec Únie pokrývajúci celý životný cyklus batérií vrátane harmonizovaných</w:t>
      </w:r>
      <w:r w:rsidRPr="00206E00" w:rsidR="00D660AE">
        <w:rPr>
          <w:shd w:val="clear" w:color="auto" w:fill="FFFFFF"/>
        </w:rPr>
        <w:t xml:space="preserve"> a </w:t>
      </w:r>
      <w:r w:rsidRPr="00206E00">
        <w:rPr>
          <w:shd w:val="clear" w:color="auto" w:fill="FFFFFF"/>
        </w:rPr>
        <w:t>ambicióznejších pravidiel týkajúcich sa batérií, ich komponentov, použitých batérií</w:t>
      </w:r>
      <w:r w:rsidRPr="00206E00" w:rsidR="00D660AE">
        <w:rPr>
          <w:shd w:val="clear" w:color="auto" w:fill="FFFFFF"/>
        </w:rPr>
        <w:t xml:space="preserve"> a </w:t>
      </w:r>
      <w:r w:rsidRPr="00206E00">
        <w:rPr>
          <w:shd w:val="clear" w:color="auto" w:fill="FFFFFF"/>
        </w:rPr>
        <w:t>recyklátov.</w:t>
      </w:r>
    </w:p>
    <w:p w:rsidRPr="00206E00" w:rsidR="00086340" w:rsidP="00755325" w:rsidRDefault="00086340"/>
    <w:p w:rsidRPr="00206E00" w:rsidR="00086340" w:rsidRDefault="00086340">
      <w:pPr>
        <w:pStyle w:val="Heading2"/>
      </w:pPr>
      <w:r w:rsidRPr="00206E00">
        <w:t>Hlavnými cieľmi tohto nariadenia sú posilniť udržateľnosť batérií počas celého ich životného cyklu zabezpečením minimálnych požiadaviek na udržateľnosť bat</w:t>
      </w:r>
      <w:r w:rsidRPr="00206E00" w:rsidR="00C0617A">
        <w:t>érií uvádzaných na vnútorný trh </w:t>
      </w:r>
      <w:r w:rsidRPr="00206E00">
        <w:t>EÚ, zvýšiť odolnosť dodávateľského reťazca batérií</w:t>
      </w:r>
      <w:r w:rsidRPr="00206E00" w:rsidR="00D660AE">
        <w:t xml:space="preserve"> v </w:t>
      </w:r>
      <w:r w:rsidRPr="00206E00">
        <w:t>EÚ podporou obehového hospodárstva</w:t>
      </w:r>
      <w:r w:rsidRPr="00206E00" w:rsidR="00D660AE">
        <w:t xml:space="preserve"> a </w:t>
      </w:r>
      <w:r w:rsidRPr="00206E00">
        <w:t>zmierniť environmentálne</w:t>
      </w:r>
      <w:r w:rsidRPr="00206E00" w:rsidR="00D660AE">
        <w:t xml:space="preserve"> a </w:t>
      </w:r>
      <w:r w:rsidRPr="00206E00">
        <w:t>sociálne vplyvy vo všetkých fázach životného cyklu batérie.</w:t>
      </w:r>
    </w:p>
    <w:p w:rsidRPr="00206E00" w:rsidR="00086340" w:rsidP="00755325" w:rsidRDefault="00086340">
      <w:pPr>
        <w:rPr>
          <w:strike/>
          <w:color w:val="000000" w:themeColor="text1"/>
        </w:rPr>
      </w:pPr>
    </w:p>
    <w:p w:rsidRPr="00206E00" w:rsidR="00086340" w:rsidRDefault="00086340">
      <w:pPr>
        <w:pStyle w:val="Heading2"/>
      </w:pPr>
      <w:r w:rsidRPr="00206E00">
        <w:t>Ide najmä</w:t>
      </w:r>
      <w:r w:rsidRPr="00206E00" w:rsidR="00D660AE">
        <w:t xml:space="preserve"> o </w:t>
      </w:r>
      <w:r w:rsidRPr="00206E00">
        <w:t>posilnenie výroby vysokokvalitných</w:t>
      </w:r>
      <w:r w:rsidRPr="00206E00" w:rsidR="00D660AE">
        <w:t xml:space="preserve"> a </w:t>
      </w:r>
      <w:r w:rsidRPr="00206E00">
        <w:t>vysokovýkonných batérií</w:t>
      </w:r>
      <w:r w:rsidRPr="00206E00" w:rsidR="00D660AE">
        <w:t xml:space="preserve"> a </w:t>
      </w:r>
      <w:r w:rsidRPr="00206E00" w:rsidR="00C0617A">
        <w:t>ich uvádzania na trh </w:t>
      </w:r>
      <w:r w:rsidRPr="00206E00">
        <w:t>EÚ, rozvíjanie</w:t>
      </w:r>
      <w:r w:rsidRPr="00206E00" w:rsidR="00D660AE">
        <w:t xml:space="preserve"> a </w:t>
      </w:r>
      <w:r w:rsidRPr="00206E00">
        <w:t>využívanie potenciálu EÚ</w:t>
      </w:r>
      <w:r w:rsidRPr="00206E00" w:rsidR="00D660AE">
        <w:t xml:space="preserve"> v </w:t>
      </w:r>
      <w:r w:rsidRPr="00206E00">
        <w:t>oblasti primárnych aj druhotných surovín potrebných na výrobu batérií zabezpečovaním ich výroby efektívnym</w:t>
      </w:r>
      <w:r w:rsidRPr="00206E00" w:rsidR="00D660AE">
        <w:t xml:space="preserve"> a </w:t>
      </w:r>
      <w:r w:rsidRPr="00206E00">
        <w:t>udržateľným spôsobom</w:t>
      </w:r>
      <w:r w:rsidRPr="00206E00" w:rsidR="00D660AE">
        <w:t xml:space="preserve"> a </w:t>
      </w:r>
      <w:r w:rsidRPr="00206E00">
        <w:t>zabezpečovanie fungovania trhov</w:t>
      </w:r>
      <w:r w:rsidRPr="00206E00" w:rsidR="00D660AE">
        <w:t xml:space="preserve"> s </w:t>
      </w:r>
      <w:r w:rsidRPr="00206E00">
        <w:t>druhotnými surovinami</w:t>
      </w:r>
      <w:r w:rsidRPr="00206E00" w:rsidR="00D660AE">
        <w:t xml:space="preserve"> a </w:t>
      </w:r>
      <w:r w:rsidRPr="00206E00">
        <w:t>súvisiacich priemyselných procesov.</w:t>
      </w:r>
    </w:p>
    <w:p w:rsidRPr="00206E00" w:rsidR="00086340" w:rsidP="00755325" w:rsidRDefault="00086340">
      <w:pPr>
        <w:ind w:left="567" w:hanging="567"/>
      </w:pPr>
    </w:p>
    <w:p w:rsidRPr="00206E00" w:rsidR="00086340" w:rsidRDefault="00086340">
      <w:pPr>
        <w:pStyle w:val="Heading2"/>
      </w:pPr>
      <w:r w:rsidRPr="00206E00">
        <w:t>Prostredníctvom tohto nariadenia má Komisia</w:t>
      </w:r>
      <w:r w:rsidRPr="00206E00" w:rsidR="00D660AE">
        <w:t xml:space="preserve"> v </w:t>
      </w:r>
      <w:r w:rsidRPr="00206E00">
        <w:t>úmysle podporovať inovácie, ako aj rozvoj</w:t>
      </w:r>
      <w:r w:rsidRPr="00206E00" w:rsidR="00D660AE">
        <w:t xml:space="preserve"> a </w:t>
      </w:r>
      <w:r w:rsidRPr="00206E00">
        <w:t>uplatňovanie technologických odborných poznatkov získaných</w:t>
      </w:r>
      <w:r w:rsidRPr="00206E00" w:rsidR="00D660AE">
        <w:t xml:space="preserve"> v </w:t>
      </w:r>
      <w:r w:rsidRPr="00206E00" w:rsidR="00B00D23">
        <w:t>rámci </w:t>
      </w:r>
      <w:r w:rsidRPr="00206E00">
        <w:t>EÚ.</w:t>
      </w:r>
    </w:p>
    <w:p w:rsidRPr="00206E00" w:rsidR="00086340" w:rsidP="00755325" w:rsidRDefault="00086340">
      <w:pPr>
        <w:rPr>
          <w:shd w:val="clear" w:color="auto" w:fill="FFFFFF"/>
        </w:rPr>
      </w:pPr>
    </w:p>
    <w:p w:rsidRPr="00206E00" w:rsidR="00086340" w:rsidRDefault="00086340">
      <w:pPr>
        <w:pStyle w:val="Heading2"/>
        <w:rPr>
          <w:shd w:val="clear" w:color="auto" w:fill="FFFFFF"/>
        </w:rPr>
      </w:pPr>
      <w:r w:rsidRPr="00206E00">
        <w:rPr>
          <w:shd w:val="clear" w:color="auto" w:fill="FFFFFF"/>
        </w:rPr>
        <w:t>To by malo</w:t>
      </w:r>
      <w:r w:rsidRPr="00206E00" w:rsidR="00D660AE">
        <w:rPr>
          <w:shd w:val="clear" w:color="auto" w:fill="FFFFFF"/>
        </w:rPr>
        <w:t xml:space="preserve"> z </w:t>
      </w:r>
      <w:r w:rsidRPr="00206E00">
        <w:rPr>
          <w:shd w:val="clear" w:color="auto" w:fill="FFFFFF"/>
        </w:rPr>
        <w:t>hľadiska logiky obehového hospodárs</w:t>
      </w:r>
      <w:r w:rsidRPr="00206E00" w:rsidR="00B00D23">
        <w:rPr>
          <w:shd w:val="clear" w:color="auto" w:fill="FFFFFF"/>
        </w:rPr>
        <w:t>tva umožniť zníženie závislosti </w:t>
      </w:r>
      <w:r w:rsidRPr="00206E00">
        <w:rPr>
          <w:shd w:val="clear" w:color="auto" w:fill="FFFFFF"/>
        </w:rPr>
        <w:t>EÚ od dovozu surovín</w:t>
      </w:r>
      <w:r w:rsidRPr="00206E00" w:rsidR="00D660AE">
        <w:rPr>
          <w:shd w:val="clear" w:color="auto" w:fill="FFFFFF"/>
        </w:rPr>
        <w:t xml:space="preserve"> a </w:t>
      </w:r>
      <w:r w:rsidRPr="00206E00">
        <w:rPr>
          <w:shd w:val="clear" w:color="auto" w:fill="FFFFFF"/>
        </w:rPr>
        <w:t>vzácnych zemín strategického významu</w:t>
      </w:r>
      <w:r w:rsidRPr="00206E00" w:rsidR="00D660AE">
        <w:rPr>
          <w:shd w:val="clear" w:color="auto" w:fill="FFFFFF"/>
        </w:rPr>
        <w:t xml:space="preserve"> a </w:t>
      </w:r>
      <w:r w:rsidRPr="00206E00">
        <w:rPr>
          <w:shd w:val="clear" w:color="auto" w:fill="FFFFFF"/>
        </w:rPr>
        <w:t>vykonávanie vhodného zberu</w:t>
      </w:r>
      <w:r w:rsidRPr="00206E00" w:rsidR="00D660AE">
        <w:rPr>
          <w:shd w:val="clear" w:color="auto" w:fill="FFFFFF"/>
        </w:rPr>
        <w:t xml:space="preserve"> a </w:t>
      </w:r>
      <w:r w:rsidRPr="00206E00">
        <w:rPr>
          <w:shd w:val="clear" w:color="auto" w:fill="FFFFFF"/>
        </w:rPr>
        <w:t>recyklácie všetkých použitých batérií.</w:t>
      </w:r>
    </w:p>
    <w:p w:rsidRPr="00206E00" w:rsidR="00086340" w:rsidP="00755325" w:rsidRDefault="00086340"/>
    <w:p w:rsidRPr="00206E00" w:rsidR="00086340" w:rsidRDefault="00086340">
      <w:pPr>
        <w:pStyle w:val="Heading2"/>
      </w:pPr>
      <w:r w:rsidRPr="00206E00">
        <w:t>S cieľom znížiť environmentálne</w:t>
      </w:r>
      <w:r w:rsidRPr="00206E00" w:rsidR="00D660AE">
        <w:t xml:space="preserve"> a </w:t>
      </w:r>
      <w:r w:rsidRPr="00206E00">
        <w:t>sociálne vplyvy sa prostredníctvom nariadenia musí prispievať</w:t>
      </w:r>
      <w:r w:rsidRPr="00206E00" w:rsidR="00D660AE">
        <w:t xml:space="preserve"> k </w:t>
      </w:r>
      <w:r w:rsidRPr="00206E00">
        <w:t>zodpovednému zabezpečovaniu zdrojov, podporovať efektívne využívanie surovín</w:t>
      </w:r>
      <w:r w:rsidRPr="00206E00" w:rsidR="00D660AE">
        <w:t xml:space="preserve"> </w:t>
      </w:r>
      <w:r w:rsidRPr="00206E00" w:rsidR="00D660AE">
        <w:lastRenderedPageBreak/>
        <w:t>a </w:t>
      </w:r>
      <w:r w:rsidRPr="00206E00">
        <w:t>recyklovaných materiálov, znižovať emisie skleníkových plynov počas celého životného cyklu batérií, znižovať riziká pre ľudské zdravie</w:t>
      </w:r>
      <w:r w:rsidRPr="00206E00" w:rsidR="00D660AE">
        <w:t xml:space="preserve"> a </w:t>
      </w:r>
      <w:r w:rsidRPr="00206E00">
        <w:t>kvalitu životného prostredia</w:t>
      </w:r>
      <w:r w:rsidRPr="00206E00" w:rsidR="00D660AE">
        <w:t xml:space="preserve"> a </w:t>
      </w:r>
      <w:r w:rsidRPr="00206E00">
        <w:t>zlepšiť sociálne podmienky dotknutého obyvateľstva.</w:t>
      </w:r>
    </w:p>
    <w:p w:rsidRPr="00206E00" w:rsidR="005F0866" w:rsidRDefault="005F0866"/>
    <w:p w:rsidRPr="00206E00" w:rsidR="00086340" w:rsidP="00755325" w:rsidRDefault="00086340">
      <w:pPr>
        <w:pStyle w:val="Heading1"/>
        <w:keepNext/>
        <w:rPr>
          <w:shd w:val="clear" w:color="auto" w:fill="FFFFFF"/>
        </w:rPr>
      </w:pPr>
      <w:r w:rsidRPr="00206E00">
        <w:rPr>
          <w:b/>
          <w:shd w:val="clear" w:color="auto" w:fill="FFFFFF"/>
        </w:rPr>
        <w:t>Všeobecné pripomienky</w:t>
      </w:r>
    </w:p>
    <w:p w:rsidRPr="00206E00" w:rsidR="00086340" w:rsidP="00B00D23" w:rsidRDefault="00086340"/>
    <w:p w:rsidRPr="00206E00" w:rsidR="00086340" w:rsidRDefault="00086340">
      <w:pPr>
        <w:pStyle w:val="Heading2"/>
      </w:pPr>
      <w:r w:rsidRPr="00206E00">
        <w:t>V Európe bude</w:t>
      </w:r>
      <w:r w:rsidRPr="00206E00" w:rsidR="00D660AE">
        <w:t xml:space="preserve"> v </w:t>
      </w:r>
      <w:r w:rsidRPr="00206E00">
        <w:t>nasledujúcom desaťročí technológia batérií jedným</w:t>
      </w:r>
      <w:r w:rsidRPr="00206E00" w:rsidR="00D660AE">
        <w:t xml:space="preserve"> z </w:t>
      </w:r>
      <w:r w:rsidRPr="00206E00">
        <w:t>hlavných katalyzátorov zelenej energetickej transformácie. Umožnením elektrifikácie dopravy, ak je to vhodné,</w:t>
      </w:r>
      <w:r w:rsidRPr="00206E00" w:rsidR="00D660AE">
        <w:t xml:space="preserve"> a </w:t>
      </w:r>
      <w:r w:rsidRPr="00206E00">
        <w:t>využívania obnoviteľných energií ako spoľahlivých zdrojov energie by malo používanie batérií prispieť</w:t>
      </w:r>
      <w:r w:rsidRPr="00206E00" w:rsidR="00D660AE">
        <w:t xml:space="preserve"> k </w:t>
      </w:r>
      <w:r w:rsidRPr="00206E00">
        <w:t>dosiahnutiu európskych cieľov Parížskej dohody</w:t>
      </w:r>
      <w:r w:rsidRPr="00206E00" w:rsidR="00D660AE">
        <w:t xml:space="preserve"> o </w:t>
      </w:r>
      <w:r w:rsidRPr="00206E00">
        <w:t>zmene klímy.</w:t>
      </w:r>
    </w:p>
    <w:p w:rsidRPr="00206E00" w:rsidR="00086340" w:rsidP="00B00D23" w:rsidRDefault="00086340"/>
    <w:p w:rsidRPr="00206E00" w:rsidR="00086340" w:rsidRDefault="00086340">
      <w:pPr>
        <w:pStyle w:val="Heading2"/>
      </w:pPr>
      <w:r w:rsidRPr="00206E00">
        <w:t>Podľa podpredsedu Komisie Maroša Šefčoviča by EÚ vzhľadom na pokrok dosiahnutý</w:t>
      </w:r>
      <w:r w:rsidRPr="00206E00" w:rsidR="00D660AE">
        <w:t xml:space="preserve"> v </w:t>
      </w:r>
      <w:r w:rsidRPr="00206E00">
        <w:t>rámci Európskej aliancie pre batérie (EBA), ktorú vytvorila Komisia</w:t>
      </w:r>
      <w:r w:rsidRPr="00206E00" w:rsidR="00D660AE">
        <w:t xml:space="preserve"> v </w:t>
      </w:r>
      <w:r w:rsidRPr="00206E00" w:rsidR="00B00D23">
        <w:t>roku </w:t>
      </w:r>
      <w:r w:rsidRPr="00206E00">
        <w:t>2017, mohla do piatich rokov zabezpečiť až 80</w:t>
      </w:r>
      <w:r w:rsidRPr="00206E00" w:rsidR="00D660AE">
        <w:t> %</w:t>
      </w:r>
      <w:r w:rsidRPr="00206E00" w:rsidR="00B00D23">
        <w:t> </w:t>
      </w:r>
      <w:r w:rsidRPr="00206E00">
        <w:t>svojich potrieb.</w:t>
      </w:r>
    </w:p>
    <w:p w:rsidRPr="00206E00" w:rsidR="00086340" w:rsidP="00B00D23" w:rsidRDefault="00086340"/>
    <w:p w:rsidRPr="00206E00" w:rsidR="00086340" w:rsidRDefault="00086340">
      <w:pPr>
        <w:pStyle w:val="Heading2"/>
      </w:pPr>
      <w:r w:rsidRPr="00206E00">
        <w:t>Táto strategická autonómia sa vybuduje</w:t>
      </w:r>
      <w:r w:rsidRPr="00206E00" w:rsidR="00D660AE">
        <w:t xml:space="preserve"> v </w:t>
      </w:r>
      <w:r w:rsidRPr="00206E00">
        <w:t>spolupráci</w:t>
      </w:r>
      <w:r w:rsidRPr="00206E00" w:rsidR="00D660AE">
        <w:t xml:space="preserve"> s </w:t>
      </w:r>
      <w:r w:rsidRPr="00206E00">
        <w:t>EBA</w:t>
      </w:r>
      <w:r w:rsidRPr="00206E00" w:rsidR="00D660AE">
        <w:t xml:space="preserve"> s </w:t>
      </w:r>
      <w:r w:rsidRPr="00206E00">
        <w:t>cieľom ponúknuť právne nástroje</w:t>
      </w:r>
      <w:r w:rsidRPr="00206E00" w:rsidR="00D660AE">
        <w:t xml:space="preserve"> a </w:t>
      </w:r>
      <w:r w:rsidRPr="00206E00">
        <w:t>spojiť členské štáty, automobilový, surovinový</w:t>
      </w:r>
      <w:r w:rsidRPr="00206E00" w:rsidR="00D660AE">
        <w:t xml:space="preserve"> a </w:t>
      </w:r>
      <w:r w:rsidRPr="00206E00">
        <w:t>chemický priemysel,</w:t>
      </w:r>
      <w:r w:rsidRPr="00206E00" w:rsidR="00D660AE">
        <w:t xml:space="preserve"> a </w:t>
      </w:r>
      <w:r w:rsidRPr="00206E00">
        <w:t>tak navrhnúť</w:t>
      </w:r>
      <w:r w:rsidRPr="00206E00" w:rsidR="00D660AE">
        <w:t xml:space="preserve"> a </w:t>
      </w:r>
      <w:r w:rsidRPr="00206E00">
        <w:t>implementovať stopercentne európske hodnotové reťazce</w:t>
      </w:r>
      <w:r w:rsidRPr="00206E00" w:rsidR="00D660AE">
        <w:t xml:space="preserve"> s </w:t>
      </w:r>
      <w:r w:rsidRPr="00206E00">
        <w:t>prvými zariadeniami na výrobu európskych batérií, ktoré by sa mali uviesť do prevádzky</w:t>
      </w:r>
      <w:r w:rsidRPr="00206E00" w:rsidR="00D660AE">
        <w:t xml:space="preserve"> v </w:t>
      </w:r>
      <w:r w:rsidRPr="00206E00" w:rsidR="00B00D23">
        <w:t>roku 2021 alebo </w:t>
      </w:r>
      <w:r w:rsidRPr="00206E00">
        <w:t>2022.</w:t>
      </w:r>
    </w:p>
    <w:p w:rsidRPr="00206E00" w:rsidR="00086340" w:rsidP="00B00D23" w:rsidRDefault="00086340"/>
    <w:p w:rsidRPr="00206E00" w:rsidR="00086340" w:rsidRDefault="00086340">
      <w:pPr>
        <w:pStyle w:val="Heading2"/>
      </w:pPr>
      <w:r w:rsidRPr="00206E00">
        <w:rPr>
          <w:color w:val="000000" w:themeColor="text1"/>
        </w:rPr>
        <w:t>EHSV</w:t>
      </w:r>
      <w:r w:rsidRPr="00206E00" w:rsidR="00B00D23">
        <w:t> </w:t>
      </w:r>
      <w:r w:rsidRPr="00206E00">
        <w:t>podporuje opatrenia stanovené</w:t>
      </w:r>
      <w:r w:rsidRPr="00206E00" w:rsidR="00D660AE">
        <w:t xml:space="preserve"> v </w:t>
      </w:r>
      <w:r w:rsidRPr="00206E00">
        <w:t>nariadení navrhnutom Komisiou</w:t>
      </w:r>
      <w:r w:rsidRPr="00206E00" w:rsidR="00D660AE">
        <w:t xml:space="preserve"> s </w:t>
      </w:r>
      <w:r w:rsidRPr="00206E00">
        <w:t>ohľadom na ich schopnosť čeliť mnohým výzvam, ktoré predstavuje globálny rast výroby</w:t>
      </w:r>
      <w:r w:rsidRPr="00206E00" w:rsidR="00D660AE">
        <w:t xml:space="preserve"> a </w:t>
      </w:r>
      <w:r w:rsidRPr="00206E00">
        <w:t>spotreby batérií.</w:t>
      </w:r>
    </w:p>
    <w:p w:rsidRPr="00206E00" w:rsidR="00B84BE4" w:rsidP="00755325" w:rsidRDefault="00B84BE4">
      <w:pPr>
        <w:rPr>
          <w:highlight w:val="yellow"/>
        </w:rPr>
      </w:pPr>
    </w:p>
    <w:p w:rsidRPr="00206E00" w:rsidR="00086340" w:rsidRDefault="00086340">
      <w:pPr>
        <w:pStyle w:val="Heading2"/>
        <w:rPr>
          <w:bCs/>
          <w:color w:val="000000" w:themeColor="text1"/>
          <w:szCs w:val="28"/>
          <w:shd w:val="clear" w:color="auto" w:fill="F7F7F7"/>
        </w:rPr>
      </w:pPr>
      <w:r w:rsidRPr="00206E00">
        <w:t>V súlade so strategickou autonómiou EÚ však EHSV upozorňuje, že je potrebné ich posilniť</w:t>
      </w:r>
      <w:r w:rsidRPr="00206E00" w:rsidR="00D660AE">
        <w:t xml:space="preserve"> a </w:t>
      </w:r>
      <w:r w:rsidRPr="00206E00">
        <w:t>implementovať rýchlo, aby sa zabránilo nielen zvýšeniu technologickej, priemyselnej</w:t>
      </w:r>
      <w:r w:rsidRPr="00206E00" w:rsidR="00D660AE">
        <w:t xml:space="preserve"> a </w:t>
      </w:r>
      <w:r w:rsidRPr="00206E00">
        <w:t>energetickej závislosti používateľov batérií</w:t>
      </w:r>
      <w:r w:rsidRPr="00206E00" w:rsidR="00D660AE">
        <w:t xml:space="preserve"> v </w:t>
      </w:r>
      <w:r w:rsidRPr="00206E00">
        <w:t>EÚ od ázijských alebo amerických výrobcov, ale aj premiestneniu európskych automobilových závodov do tretích krajín</w:t>
      </w:r>
      <w:r w:rsidRPr="00206E00" w:rsidR="00D660AE">
        <w:t xml:space="preserve"> v </w:t>
      </w:r>
      <w:r w:rsidRPr="00206E00">
        <w:t>regiónoch, ktoré sa nachádzajú</w:t>
      </w:r>
      <w:r w:rsidRPr="00206E00" w:rsidR="00D660AE">
        <w:t xml:space="preserve"> v </w:t>
      </w:r>
      <w:r w:rsidRPr="00206E00">
        <w:t>blízkosti zariadení na výrobu batérií,</w:t>
      </w:r>
      <w:r w:rsidRPr="00206E00" w:rsidR="00D660AE">
        <w:t xml:space="preserve"> s </w:t>
      </w:r>
      <w:r w:rsidRPr="00206E00">
        <w:t>negatívnymi hospodárskymi, sociálnymi</w:t>
      </w:r>
      <w:r w:rsidRPr="00206E00" w:rsidR="00D660AE">
        <w:t xml:space="preserve"> a </w:t>
      </w:r>
      <w:r w:rsidRPr="00206E00">
        <w:t>environmentálnymi dôsledkami, ako sa už uviedlo</w:t>
      </w:r>
      <w:r w:rsidRPr="00206E00" w:rsidR="00D660AE">
        <w:t xml:space="preserve"> v </w:t>
      </w:r>
      <w:r w:rsidRPr="00206E00">
        <w:t>predchádzajúcom stanovisku EHSV</w:t>
      </w:r>
      <w:r w:rsidRPr="00206E00">
        <w:rPr>
          <w:rStyle w:val="FootnoteReference"/>
          <w:color w:val="000000"/>
        </w:rPr>
        <w:footnoteReference w:id="2"/>
      </w:r>
      <w:r w:rsidRPr="00206E00">
        <w:t>. Okrem toho je potrebné chrániť záujmy európskych podnikov tým, že sa</w:t>
      </w:r>
      <w:r w:rsidRPr="00206E00" w:rsidR="00D660AE">
        <w:t xml:space="preserve"> v </w:t>
      </w:r>
      <w:r w:rsidRPr="00206E00">
        <w:t>plnej miere využijú všetky príslušné nástroje EÚ.</w:t>
      </w:r>
      <w:r w:rsidRPr="00206E00" w:rsidR="00D660AE">
        <w:t xml:space="preserve"> V </w:t>
      </w:r>
      <w:r w:rsidRPr="00206E00">
        <w:t>tejto súvislosti by chcel EHSV vyjadriť aj svoje obavy ohľadom toho, ako chce Komisia overiť</w:t>
      </w:r>
      <w:r w:rsidRPr="00206E00" w:rsidR="00D660AE">
        <w:t xml:space="preserve"> a </w:t>
      </w:r>
      <w:r w:rsidRPr="00206E00">
        <w:t>zabezpečiť dodržiavanie požiadaviek týkajúcich sa uhlíkovej stopy (metodika zatiaľ neexistuje), úrovne recyklovaného obsahu</w:t>
      </w:r>
      <w:r w:rsidRPr="00206E00" w:rsidR="00D660AE">
        <w:t xml:space="preserve"> a </w:t>
      </w:r>
      <w:r w:rsidRPr="00206E00">
        <w:t>náležitej starostlivosti</w:t>
      </w:r>
      <w:r w:rsidRPr="00206E00" w:rsidR="00D660AE">
        <w:t xml:space="preserve"> v </w:t>
      </w:r>
      <w:r w:rsidRPr="00206E00">
        <w:t>dodávateľskom reťazci. EHSV</w:t>
      </w:r>
      <w:r w:rsidRPr="00206E00" w:rsidR="00D660AE">
        <w:t xml:space="preserve"> v </w:t>
      </w:r>
      <w:r w:rsidRPr="00206E00">
        <w:t>tomto ohľade trvá na dôkladnom preskúmaní súladu dovážaných výrobkov</w:t>
      </w:r>
      <w:r w:rsidRPr="00206E00" w:rsidR="00D660AE">
        <w:t xml:space="preserve"> s </w:t>
      </w:r>
      <w:r w:rsidRPr="00206E00">
        <w:t>cieľom zabrániť nekalej hospodárskej súťaži zo zahraničia.</w:t>
      </w:r>
    </w:p>
    <w:p w:rsidRPr="00206E00" w:rsidR="00086340" w:rsidP="00B00D23" w:rsidRDefault="00086340"/>
    <w:p w:rsidRPr="00206E00" w:rsidR="00086340" w:rsidRDefault="00086340">
      <w:pPr>
        <w:pStyle w:val="Heading2"/>
      </w:pPr>
      <w:r w:rsidRPr="00206E00">
        <w:t>Solárne panely, veterné elektrárne</w:t>
      </w:r>
      <w:r w:rsidRPr="00206E00" w:rsidR="00D660AE">
        <w:t xml:space="preserve"> a </w:t>
      </w:r>
      <w:r w:rsidRPr="00206E00">
        <w:t>batérie sú pre náš nový priemyselný model zásadné</w:t>
      </w:r>
      <w:r w:rsidRPr="00206E00">
        <w:rPr>
          <w:rStyle w:val="FootnoteReference"/>
          <w:color w:val="000000"/>
        </w:rPr>
        <w:footnoteReference w:id="3"/>
      </w:r>
      <w:r w:rsidRPr="00206E00">
        <w:t>. Závisia od surovín</w:t>
      </w:r>
      <w:r w:rsidRPr="00206E00" w:rsidR="00D660AE">
        <w:t xml:space="preserve"> a </w:t>
      </w:r>
      <w:r w:rsidRPr="00206E00">
        <w:t>materiálov, know-how</w:t>
      </w:r>
      <w:r w:rsidRPr="00206E00" w:rsidR="00D660AE">
        <w:t xml:space="preserve"> a </w:t>
      </w:r>
      <w:r w:rsidRPr="00206E00">
        <w:t>pridanej hodnoty pochádzajúcich najmä</w:t>
      </w:r>
      <w:r w:rsidRPr="00206E00" w:rsidR="00D660AE">
        <w:t xml:space="preserve"> z </w:t>
      </w:r>
      <w:r w:rsidRPr="00206E00">
        <w:t>krajín mimo EÚ.</w:t>
      </w:r>
      <w:r w:rsidRPr="00206E00" w:rsidR="00D660AE">
        <w:t xml:space="preserve"> V </w:t>
      </w:r>
      <w:r w:rsidRPr="00206E00">
        <w:t>súčasnosti sa</w:t>
      </w:r>
      <w:r w:rsidRPr="00206E00" w:rsidR="00D660AE">
        <w:t xml:space="preserve"> v </w:t>
      </w:r>
      <w:r w:rsidRPr="00206E00">
        <w:t>Európe vyrába ani nie 1</w:t>
      </w:r>
      <w:r w:rsidRPr="00206E00" w:rsidR="00D660AE">
        <w:t> %</w:t>
      </w:r>
      <w:r w:rsidRPr="00206E00" w:rsidR="00B00D23">
        <w:t> </w:t>
      </w:r>
      <w:r w:rsidRPr="00206E00">
        <w:t>svetovej produkcie lítiových batérií</w:t>
      </w:r>
      <w:r w:rsidRPr="00206E00">
        <w:rPr>
          <w:rStyle w:val="FootnoteReference"/>
          <w:color w:val="000000"/>
        </w:rPr>
        <w:footnoteReference w:id="4"/>
      </w:r>
      <w:r w:rsidRPr="00206E00">
        <w:t>.</w:t>
      </w:r>
      <w:r w:rsidRPr="00206E00" w:rsidR="00D660AE">
        <w:t xml:space="preserve"> S </w:t>
      </w:r>
      <w:r w:rsidRPr="00206E00">
        <w:t>cieľom zabezpečiť účinnú</w:t>
      </w:r>
      <w:r w:rsidRPr="00206E00" w:rsidR="00D660AE">
        <w:t xml:space="preserve"> a </w:t>
      </w:r>
      <w:r w:rsidRPr="00206E00">
        <w:t>bezpečnú realizáciu existujúcich</w:t>
      </w:r>
      <w:r w:rsidRPr="00206E00" w:rsidR="00D660AE">
        <w:t xml:space="preserve"> a </w:t>
      </w:r>
      <w:r w:rsidRPr="00206E00">
        <w:t xml:space="preserve">budúcich plánov </w:t>
      </w:r>
      <w:r w:rsidRPr="00206E00">
        <w:lastRenderedPageBreak/>
        <w:t>elektrizačných sústav EHSV odporúča, aby bol rozvoj európskeho odvetvia stacionárnych batérií sprevádzaný stanovením celoeurópskeho rámca</w:t>
      </w:r>
      <w:r w:rsidRPr="00206E00" w:rsidR="00B00D23">
        <w:t xml:space="preserve"> pre využívanie technológie V2G </w:t>
      </w:r>
      <w:r w:rsidRPr="00206E00">
        <w:t>(energetické prepojenie vozidla</w:t>
      </w:r>
      <w:r w:rsidRPr="00206E00" w:rsidR="00D660AE">
        <w:t xml:space="preserve"> a </w:t>
      </w:r>
      <w:r w:rsidRPr="00206E00">
        <w:t>siete).</w:t>
      </w:r>
    </w:p>
    <w:p w:rsidRPr="00206E00" w:rsidR="00086340" w:rsidP="00755325" w:rsidRDefault="00086340">
      <w:pPr>
        <w:rPr>
          <w:color w:val="000000"/>
        </w:rPr>
      </w:pPr>
    </w:p>
    <w:p w:rsidRPr="00206E00" w:rsidR="003C0FDC" w:rsidRDefault="00B00D23">
      <w:pPr>
        <w:pStyle w:val="Heading2"/>
      </w:pPr>
      <w:r w:rsidRPr="00206E00">
        <w:t>EHSV </w:t>
      </w:r>
      <w:r w:rsidRPr="00206E00" w:rsidR="00086340">
        <w:t>podporuje návrhy na zvýšenie udržateľnosti dopravy</w:t>
      </w:r>
      <w:r w:rsidRPr="00206E00" w:rsidR="00D660AE">
        <w:t xml:space="preserve"> a </w:t>
      </w:r>
      <w:r w:rsidRPr="00206E00" w:rsidR="00086340">
        <w:t>strategický akčný plán pre batérie zameraný na zníženie energetického deficitu</w:t>
      </w:r>
      <w:r w:rsidRPr="00206E00" w:rsidR="00D660AE">
        <w:t xml:space="preserve"> v </w:t>
      </w:r>
      <w:r w:rsidRPr="00206E00" w:rsidR="00086340">
        <w:t>Európe</w:t>
      </w:r>
      <w:r w:rsidRPr="00206E00" w:rsidR="00D660AE">
        <w:t xml:space="preserve"> a </w:t>
      </w:r>
      <w:r w:rsidRPr="00206E00" w:rsidR="00086340">
        <w:t>vytvorenie hodnotového reťazca batérií. Dekarbonizácia dopravy</w:t>
      </w:r>
      <w:r w:rsidRPr="00206E00" w:rsidR="00D660AE">
        <w:t xml:space="preserve"> a </w:t>
      </w:r>
      <w:r w:rsidRPr="00206E00" w:rsidR="00086340">
        <w:t>prechod na čistú energiu je jedným</w:t>
      </w:r>
      <w:r w:rsidRPr="00206E00" w:rsidR="00D660AE">
        <w:t xml:space="preserve"> z </w:t>
      </w:r>
      <w:r w:rsidRPr="00206E00" w:rsidR="00086340">
        <w:t>kľúčových aspektov tretieho balíka opatrení</w:t>
      </w:r>
      <w:r w:rsidRPr="00206E00" w:rsidR="00D660AE">
        <w:t xml:space="preserve"> v </w:t>
      </w:r>
      <w:r w:rsidRPr="00206E00" w:rsidR="00086340">
        <w:t>oblasti mobility, Európskej zelenej dohody</w:t>
      </w:r>
      <w:r w:rsidRPr="00206E00" w:rsidR="00D660AE">
        <w:t xml:space="preserve"> a </w:t>
      </w:r>
      <w:r w:rsidRPr="00206E00" w:rsidR="00086340">
        <w:t>stratégie pre udržateľnú</w:t>
      </w:r>
      <w:r w:rsidRPr="00206E00" w:rsidR="00D660AE">
        <w:t xml:space="preserve"> a </w:t>
      </w:r>
      <w:r w:rsidRPr="00206E00" w:rsidR="00086340">
        <w:t>inteligentnú mobilitu. Táto iniciatíva patrí do širšieho rámca akčného plánu pre obehové hospodárstvo</w:t>
      </w:r>
      <w:r w:rsidRPr="00206E00" w:rsidR="00086340">
        <w:rPr>
          <w:rStyle w:val="FootnoteReference"/>
          <w:color w:val="000000"/>
        </w:rPr>
        <w:footnoteReference w:id="5"/>
      </w:r>
      <w:r w:rsidRPr="00206E00" w:rsidR="00086340">
        <w:t>.</w:t>
      </w:r>
    </w:p>
    <w:p w:rsidRPr="00206E00" w:rsidR="00086340" w:rsidRDefault="00086340"/>
    <w:p w:rsidRPr="00206E00" w:rsidR="003C0FDC" w:rsidRDefault="003C0FDC">
      <w:pPr>
        <w:pStyle w:val="Heading2"/>
      </w:pPr>
      <w:r w:rsidRPr="00206E00">
        <w:t>Európska platforma subjektov obehového hospodárstva môže zohrať úlohu</w:t>
      </w:r>
      <w:r w:rsidRPr="00206E00" w:rsidR="00D660AE">
        <w:t xml:space="preserve"> v </w:t>
      </w:r>
      <w:r w:rsidRPr="00206E00">
        <w:t>komunikácii</w:t>
      </w:r>
      <w:r w:rsidRPr="00206E00" w:rsidR="00D660AE">
        <w:t xml:space="preserve"> o </w:t>
      </w:r>
      <w:r w:rsidRPr="00206E00">
        <w:t>týchto témach</w:t>
      </w:r>
      <w:r w:rsidRPr="00206E00" w:rsidR="00360982">
        <w:rPr>
          <w:rStyle w:val="FootnoteReference"/>
        </w:rPr>
        <w:footnoteReference w:id="6"/>
      </w:r>
      <w:r w:rsidRPr="00206E00">
        <w:t>.</w:t>
      </w:r>
    </w:p>
    <w:p w:rsidRPr="00206E00" w:rsidR="003C0FDC" w:rsidRDefault="003C0FDC"/>
    <w:p w:rsidRPr="00206E00" w:rsidR="00D05DCF" w:rsidP="0008516E" w:rsidRDefault="00D05DCF">
      <w:pPr>
        <w:pStyle w:val="Heading2"/>
      </w:pPr>
      <w:r w:rsidRPr="00206E00">
        <w:t>Takisto je potrebný vhodný systém na informovanie koncových používateľov</w:t>
      </w:r>
      <w:r w:rsidRPr="00206E00" w:rsidR="00D660AE">
        <w:t xml:space="preserve"> o </w:t>
      </w:r>
      <w:r w:rsidRPr="00206E00">
        <w:t>kvalite batérií dostupných na trhu</w:t>
      </w:r>
      <w:r w:rsidRPr="00206E00" w:rsidR="00D660AE">
        <w:t xml:space="preserve"> a </w:t>
      </w:r>
      <w:r w:rsidRPr="00206E00">
        <w:t>na zvýšenie informovanosti spotrebiteľov</w:t>
      </w:r>
      <w:r w:rsidRPr="00206E00" w:rsidR="00D660AE">
        <w:t xml:space="preserve"> o </w:t>
      </w:r>
      <w:r w:rsidRPr="00206E00">
        <w:t>ich úlohe pri zbere odpadu</w:t>
      </w:r>
      <w:r w:rsidRPr="00206E00" w:rsidR="00D660AE">
        <w:t xml:space="preserve"> z </w:t>
      </w:r>
      <w:r w:rsidRPr="00206E00">
        <w:t>batérií.</w:t>
      </w:r>
    </w:p>
    <w:p w:rsidRPr="00206E00" w:rsidR="00D05DCF" w:rsidRDefault="00D05DCF"/>
    <w:p w:rsidRPr="00206E00" w:rsidR="00086340" w:rsidRDefault="00086340">
      <w:pPr>
        <w:pStyle w:val="Heading2"/>
      </w:pPr>
      <w:r w:rsidRPr="00206E00">
        <w:t>Najlepším spôsobom, ako zabezpečiť, aby boli vyrobené batérie „čisté“, je dodržiavať európske normy</w:t>
      </w:r>
      <w:r w:rsidRPr="00206E00" w:rsidR="00D660AE">
        <w:t xml:space="preserve"> a </w:t>
      </w:r>
      <w:r w:rsidRPr="00206E00">
        <w:t>pravidlá</w:t>
      </w:r>
      <w:r w:rsidRPr="00206E00" w:rsidR="00D660AE">
        <w:t xml:space="preserve"> v </w:t>
      </w:r>
      <w:r w:rsidRPr="00206E00">
        <w:t>oblasti životného prostredia, ako to presadzuje napríklad prístup obehového hospodárstva od baní až do konca životnosti batérií. Zásadný význam majú veľké investície určené na tento cieľ</w:t>
      </w:r>
      <w:r w:rsidRPr="00206E00" w:rsidR="00D660AE">
        <w:t xml:space="preserve"> z </w:t>
      </w:r>
      <w:r w:rsidRPr="00206E00">
        <w:t>priemyselného odvetvia, pričom úlohou Komisie je vymedziť náležité podmienky, ako sú technické normy</w:t>
      </w:r>
      <w:r w:rsidRPr="00206E00">
        <w:rPr>
          <w:rStyle w:val="FootnoteReference"/>
          <w:color w:val="000000"/>
          <w:szCs w:val="24"/>
        </w:rPr>
        <w:footnoteReference w:id="7"/>
      </w:r>
      <w:r w:rsidRPr="00206E00">
        <w:t>.</w:t>
      </w:r>
    </w:p>
    <w:p w:rsidRPr="00206E00" w:rsidR="00086340" w:rsidP="00B00D23" w:rsidRDefault="00086340"/>
    <w:p w:rsidRPr="00206E00" w:rsidR="00D90B6C" w:rsidP="0008516E" w:rsidRDefault="00D90B6C">
      <w:pPr>
        <w:pStyle w:val="Heading2"/>
      </w:pPr>
      <w:r w:rsidRPr="00206E00">
        <w:t>E</w:t>
      </w:r>
      <w:r w:rsidRPr="00206E00" w:rsidR="00B00D23">
        <w:t>HSV </w:t>
      </w:r>
      <w:r w:rsidRPr="00206E00">
        <w:t>podporuje návrh nariadenia, ktorý predložila Komisia</w:t>
      </w:r>
      <w:r w:rsidRPr="00206E00" w:rsidR="00D660AE">
        <w:t xml:space="preserve"> a </w:t>
      </w:r>
      <w:r w:rsidRPr="00206E00">
        <w:t>ktorý sa týka zohľadnenia výzev spojených</w:t>
      </w:r>
      <w:r w:rsidRPr="00206E00" w:rsidR="00D660AE">
        <w:t xml:space="preserve"> s </w:t>
      </w:r>
      <w:r w:rsidRPr="00206E00">
        <w:t>kritickými surovinami používanými</w:t>
      </w:r>
      <w:r w:rsidRPr="00206E00" w:rsidR="00D660AE">
        <w:t xml:space="preserve"> v </w:t>
      </w:r>
      <w:r w:rsidRPr="00206E00">
        <w:t>batériách, ako sa uvádza</w:t>
      </w:r>
      <w:r w:rsidRPr="00206E00" w:rsidR="00D660AE">
        <w:t xml:space="preserve"> v </w:t>
      </w:r>
      <w:r w:rsidRPr="00206E00">
        <w:t>oznámení Európskej komisie</w:t>
      </w:r>
      <w:r w:rsidRPr="00206E00" w:rsidR="00D660AE">
        <w:t xml:space="preserve"> z </w:t>
      </w:r>
      <w:r w:rsidRPr="00206E00">
        <w:t>3</w:t>
      </w:r>
      <w:r w:rsidRPr="00206E00" w:rsidR="00D660AE">
        <w:t>. septembra</w:t>
      </w:r>
      <w:r w:rsidRPr="00206E00" w:rsidR="00B00D23">
        <w:t> </w:t>
      </w:r>
      <w:r w:rsidRPr="00206E00">
        <w:t>2020</w:t>
      </w:r>
      <w:r w:rsidRPr="00206E00" w:rsidR="00D660AE">
        <w:t xml:space="preserve"> s </w:t>
      </w:r>
      <w:r w:rsidRPr="00206E00">
        <w:t xml:space="preserve">názvom </w:t>
      </w:r>
      <w:r w:rsidRPr="00206E00">
        <w:rPr>
          <w:i/>
        </w:rPr>
        <w:t>Odolnosť</w:t>
      </w:r>
      <w:r w:rsidRPr="00206E00" w:rsidR="00D660AE">
        <w:rPr>
          <w:i/>
        </w:rPr>
        <w:t xml:space="preserve"> v </w:t>
      </w:r>
      <w:r w:rsidRPr="00206E00">
        <w:rPr>
          <w:i/>
        </w:rPr>
        <w:t>oblasti kritických surovín: zmapovanie cesty</w:t>
      </w:r>
      <w:r w:rsidRPr="00206E00" w:rsidR="00D660AE">
        <w:rPr>
          <w:i/>
        </w:rPr>
        <w:t xml:space="preserve"> k </w:t>
      </w:r>
      <w:r w:rsidRPr="00206E00">
        <w:rPr>
          <w:i/>
        </w:rPr>
        <w:t>väčšej bezpečnosti</w:t>
      </w:r>
      <w:r w:rsidRPr="00206E00" w:rsidR="00D660AE">
        <w:rPr>
          <w:i/>
        </w:rPr>
        <w:t xml:space="preserve"> a </w:t>
      </w:r>
      <w:r w:rsidRPr="00206E00">
        <w:rPr>
          <w:i/>
        </w:rPr>
        <w:t>udržateľnosti</w:t>
      </w:r>
      <w:r w:rsidRPr="00206E00">
        <w:t>. Kritickými surovinami používanými</w:t>
      </w:r>
      <w:r w:rsidRPr="00206E00" w:rsidR="00D660AE">
        <w:t xml:space="preserve"> v </w:t>
      </w:r>
      <w:r w:rsidRPr="00206E00">
        <w:t>batériách sú lítium, kobalt, prírodný grafit</w:t>
      </w:r>
      <w:r w:rsidRPr="00206E00" w:rsidR="00D660AE">
        <w:t xml:space="preserve"> a </w:t>
      </w:r>
      <w:r w:rsidRPr="00206E00">
        <w:t>antimón, pričom za dva hlavné parametre pri určovaní kritického významu sa považujú hospodársky význam</w:t>
      </w:r>
      <w:r w:rsidRPr="00206E00" w:rsidR="00D660AE">
        <w:t xml:space="preserve"> a </w:t>
      </w:r>
      <w:r w:rsidRPr="00206E00">
        <w:t>riziko ohrozenia dodávok.</w:t>
      </w:r>
    </w:p>
    <w:p w:rsidRPr="00206E00" w:rsidR="00D90B6C" w:rsidP="00B00D23" w:rsidRDefault="00D90B6C"/>
    <w:p w:rsidRPr="00206E00" w:rsidR="00086340" w:rsidRDefault="00086340">
      <w:pPr>
        <w:pStyle w:val="Heading2"/>
      </w:pPr>
      <w:r w:rsidRPr="00206E00">
        <w:t>E</w:t>
      </w:r>
      <w:r w:rsidRPr="00206E00" w:rsidR="00B00D23">
        <w:t>HSV </w:t>
      </w:r>
      <w:r w:rsidRPr="00206E00">
        <w:t>už vyjadril svoju podporu zavedeniu záväzných právnych požiadaviek na posilnenie trhu</w:t>
      </w:r>
      <w:r w:rsidRPr="00206E00" w:rsidR="00D660AE">
        <w:t xml:space="preserve"> s </w:t>
      </w:r>
      <w:r w:rsidRPr="00206E00">
        <w:t>druhotnými surovinami najmä</w:t>
      </w:r>
      <w:r w:rsidRPr="00206E00" w:rsidR="00D660AE">
        <w:t xml:space="preserve"> v </w:t>
      </w:r>
      <w:r w:rsidRPr="00206E00">
        <w:t>prípade obalov, vozidiel, stavebných materiálov</w:t>
      </w:r>
      <w:r w:rsidRPr="00206E00" w:rsidR="00D660AE">
        <w:t xml:space="preserve"> a </w:t>
      </w:r>
      <w:r w:rsidRPr="00206E00">
        <w:t>batérií</w:t>
      </w:r>
      <w:r w:rsidRPr="00206E00">
        <w:rPr>
          <w:rStyle w:val="FootnoteReference"/>
          <w:color w:val="000000"/>
        </w:rPr>
        <w:footnoteReference w:id="8"/>
      </w:r>
      <w:r w:rsidRPr="00206E00">
        <w:t>.</w:t>
      </w:r>
    </w:p>
    <w:p w:rsidRPr="00206E00" w:rsidR="00086340" w:rsidP="00B00D23" w:rsidRDefault="00086340"/>
    <w:p w:rsidRPr="00206E00" w:rsidR="00086340" w:rsidRDefault="00086340">
      <w:pPr>
        <w:pStyle w:val="Heading2"/>
      </w:pPr>
      <w:r w:rsidRPr="00206E00">
        <w:t>Uskladňovanie energií</w:t>
      </w:r>
      <w:r w:rsidRPr="00206E00" w:rsidR="00D660AE">
        <w:t xml:space="preserve"> z </w:t>
      </w:r>
      <w:r w:rsidRPr="00206E00">
        <w:t>obnoviteľných zdrojov</w:t>
      </w:r>
      <w:r w:rsidRPr="00206E00" w:rsidR="00D660AE">
        <w:t xml:space="preserve"> a </w:t>
      </w:r>
      <w:r w:rsidRPr="00206E00">
        <w:t>ich vývoj predstavujú vzhľadom na ich nestály tok skutočnú výzvu. Uskladňovanie je pre Európsku úniu strategickou otázkou</w:t>
      </w:r>
      <w:r w:rsidRPr="00206E00" w:rsidR="00D660AE">
        <w:t xml:space="preserve"> v </w:t>
      </w:r>
      <w:r w:rsidRPr="00206E00">
        <w:t>záujme zaistenia bezpečnosti stálych dodávok energie do Únie</w:t>
      </w:r>
      <w:r w:rsidRPr="00206E00" w:rsidR="00D660AE">
        <w:t xml:space="preserve"> a </w:t>
      </w:r>
      <w:r w:rsidRPr="00206E00">
        <w:t>fungujúceho trhu</w:t>
      </w:r>
      <w:r w:rsidRPr="00206E00" w:rsidR="00D660AE">
        <w:t xml:space="preserve"> s </w:t>
      </w:r>
      <w:r w:rsidRPr="00206E00">
        <w:t>energiou,</w:t>
      </w:r>
      <w:r w:rsidRPr="00206E00" w:rsidR="00D660AE">
        <w:t xml:space="preserve"> a </w:t>
      </w:r>
      <w:r w:rsidRPr="00206E00">
        <w:t>to tak</w:t>
      </w:r>
      <w:r w:rsidRPr="00206E00" w:rsidR="00D660AE">
        <w:t xml:space="preserve"> z </w:t>
      </w:r>
      <w:r w:rsidRPr="00206E00">
        <w:t>technického hľadiska, ako</w:t>
      </w:r>
      <w:r w:rsidRPr="00206E00" w:rsidR="00D660AE">
        <w:t xml:space="preserve"> i z </w:t>
      </w:r>
      <w:r w:rsidRPr="00206E00">
        <w:t>hľadiska rozpočtu. EHSV pripomína, že</w:t>
      </w:r>
      <w:r w:rsidRPr="00206E00" w:rsidR="00D660AE">
        <w:t xml:space="preserve"> s </w:t>
      </w:r>
      <w:r w:rsidRPr="00206E00">
        <w:t>uskladňovaním energie môžu byť súčasne</w:t>
      </w:r>
      <w:r w:rsidRPr="00206E00" w:rsidR="00D660AE">
        <w:t xml:space="preserve"> s </w:t>
      </w:r>
      <w:r w:rsidRPr="00206E00">
        <w:t xml:space="preserve">výhodami spojené nielen významné finančné, ale aj </w:t>
      </w:r>
      <w:r w:rsidRPr="00206E00">
        <w:lastRenderedPageBreak/>
        <w:t>environmentálne</w:t>
      </w:r>
      <w:r w:rsidRPr="00206E00" w:rsidR="00D660AE">
        <w:t xml:space="preserve"> a </w:t>
      </w:r>
      <w:r w:rsidRPr="00206E00">
        <w:t>zdravotné náklady. Výbor preto podporuje systematické uskutočňovanie posúdení vplyvu,</w:t>
      </w:r>
      <w:r w:rsidRPr="00206E00" w:rsidR="00D660AE">
        <w:t xml:space="preserve"> a </w:t>
      </w:r>
      <w:r w:rsidRPr="00206E00">
        <w:t>to nielen na posúdenie konkurencieschopnosti technológií, ale aj ich vplyvu na životné prostredie</w:t>
      </w:r>
      <w:r w:rsidRPr="00206E00" w:rsidR="00D660AE">
        <w:t xml:space="preserve"> a </w:t>
      </w:r>
      <w:r w:rsidRPr="00206E00">
        <w:t>zdravie. EHSV takisto považuje za dôležité posúdiť účinky týchto technológií na vytváranie činností</w:t>
      </w:r>
      <w:r w:rsidRPr="00206E00" w:rsidR="00D660AE">
        <w:t xml:space="preserve"> a </w:t>
      </w:r>
      <w:r w:rsidRPr="00206E00">
        <w:t>pracovných miest. EHSV podporuje potrebu lepšej harmonizácie predpisov</w:t>
      </w:r>
      <w:r w:rsidRPr="00206E00" w:rsidR="00D660AE">
        <w:t xml:space="preserve"> v </w:t>
      </w:r>
      <w:r w:rsidRPr="00206E00">
        <w:t>oblasti uskladňovania energie medzi členskými štátmi. EHSV takisto vyzýva na začatie verejného dialógu</w:t>
      </w:r>
      <w:r w:rsidRPr="00206E00" w:rsidR="00D660AE">
        <w:t xml:space="preserve"> v </w:t>
      </w:r>
      <w:r w:rsidRPr="00206E00">
        <w:t>celej Európe</w:t>
      </w:r>
      <w:r w:rsidRPr="00206E00" w:rsidR="00D660AE">
        <w:t xml:space="preserve"> o </w:t>
      </w:r>
      <w:r w:rsidRPr="00206E00">
        <w:t>energetickej otázke (európsky dialóg</w:t>
      </w:r>
      <w:r w:rsidRPr="00206E00" w:rsidR="00D660AE">
        <w:t xml:space="preserve"> o </w:t>
      </w:r>
      <w:r w:rsidRPr="00206E00">
        <w:t>energetike), aby občan</w:t>
      </w:r>
      <w:r w:rsidRPr="00206E00" w:rsidR="00D660AE">
        <w:t xml:space="preserve"> a </w:t>
      </w:r>
      <w:r w:rsidRPr="00206E00">
        <w:t>celá občianska spoločnosť prevzali zodpovednosť za energetickú transformáciu</w:t>
      </w:r>
      <w:r w:rsidRPr="00206E00" w:rsidR="00D660AE">
        <w:t xml:space="preserve"> a </w:t>
      </w:r>
      <w:r w:rsidRPr="00206E00">
        <w:t>mohli ovplyvniť budúce rozhodnutia</w:t>
      </w:r>
      <w:r w:rsidRPr="00206E00" w:rsidR="00D660AE">
        <w:t xml:space="preserve"> v </w:t>
      </w:r>
      <w:r w:rsidRPr="00206E00">
        <w:t>oblasti technológií na uskladnenie energie</w:t>
      </w:r>
      <w:r w:rsidRPr="00206E00">
        <w:rPr>
          <w:rStyle w:val="FootnoteReference"/>
        </w:rPr>
        <w:footnoteReference w:id="9"/>
      </w:r>
      <w:r w:rsidRPr="00206E00">
        <w:t>.</w:t>
      </w:r>
      <w:r w:rsidRPr="00206E00" w:rsidR="00D660AE">
        <w:rPr>
          <w:rStyle w:val="xxxxxxjlqj4b"/>
        </w:rPr>
        <w:t xml:space="preserve"> K </w:t>
      </w:r>
      <w:r w:rsidRPr="00206E00">
        <w:rPr>
          <w:rStyle w:val="xxxxxxjlqj4b"/>
        </w:rPr>
        <w:t>tomu musí prispieť kvalita označovania batérií.</w:t>
      </w:r>
    </w:p>
    <w:p w:rsidRPr="00206E00" w:rsidR="00086340" w:rsidP="00B00D23" w:rsidRDefault="00086340"/>
    <w:p w:rsidRPr="00206E00" w:rsidR="00086340" w:rsidRDefault="00086340">
      <w:pPr>
        <w:pStyle w:val="Heading2"/>
      </w:pPr>
      <w:r w:rsidRPr="00206E00">
        <w:t>Ekonomická výzva je značná: Komisia odhaduje, že globáln</w:t>
      </w:r>
      <w:r w:rsidRPr="00206E00" w:rsidR="00D8716C">
        <w:t>y dopyt po batériách sa do roku </w:t>
      </w:r>
      <w:r w:rsidRPr="00206E00">
        <w:t>2030 zvýši 14-násobne</w:t>
      </w:r>
      <w:r w:rsidRPr="00206E00" w:rsidR="00D660AE">
        <w:t xml:space="preserve"> v </w:t>
      </w:r>
      <w:r w:rsidRPr="00206E00">
        <w:t>porovnaní</w:t>
      </w:r>
      <w:r w:rsidRPr="00206E00" w:rsidR="00D660AE">
        <w:t xml:space="preserve"> s </w:t>
      </w:r>
      <w:r w:rsidRPr="00206E00">
        <w:t>úrovňou</w:t>
      </w:r>
      <w:r w:rsidRPr="00206E00" w:rsidR="00D660AE">
        <w:t xml:space="preserve"> z </w:t>
      </w:r>
      <w:r w:rsidRPr="00206E00" w:rsidR="00D8716C">
        <w:t>roku </w:t>
      </w:r>
      <w:r w:rsidRPr="00206E00">
        <w:t>2018</w:t>
      </w:r>
      <w:r w:rsidRPr="00206E00" w:rsidR="00D660AE">
        <w:t xml:space="preserve"> a </w:t>
      </w:r>
      <w:r w:rsidRPr="00206E00">
        <w:t>17</w:t>
      </w:r>
      <w:r w:rsidRPr="00206E00" w:rsidR="00D660AE">
        <w:t> %</w:t>
      </w:r>
      <w:r w:rsidRPr="00206E00">
        <w:t xml:space="preserve"> tohto dopytu by malo pochádzať</w:t>
      </w:r>
      <w:r w:rsidRPr="00206E00" w:rsidR="00D660AE">
        <w:t xml:space="preserve"> z </w:t>
      </w:r>
      <w:r w:rsidRPr="00206E00">
        <w:t>EÚ. Počet lítiových batérií by sa mal</w:t>
      </w:r>
      <w:r w:rsidRPr="00206E00" w:rsidR="00D660AE">
        <w:t xml:space="preserve"> v </w:t>
      </w:r>
      <w:r w:rsidRPr="00206E00" w:rsidR="00D8716C">
        <w:t>období 2020 až </w:t>
      </w:r>
      <w:r w:rsidRPr="00206E00">
        <w:t>2</w:t>
      </w:r>
      <w:r w:rsidRPr="00206E00" w:rsidR="00D8716C">
        <w:t>040 zväčšiť </w:t>
      </w:r>
      <w:r w:rsidRPr="00206E00">
        <w:t>700-násobne.</w:t>
      </w:r>
    </w:p>
    <w:p w:rsidRPr="00206E00" w:rsidR="00D660AE" w:rsidP="00B00D23" w:rsidRDefault="00D660AE"/>
    <w:p w:rsidRPr="00206E00" w:rsidR="00086340" w:rsidRDefault="00F5294C">
      <w:pPr>
        <w:pStyle w:val="Heading2"/>
      </w:pPr>
      <w:r w:rsidRPr="00206E00">
        <w:t>Pri posudzovaní vplyvu vykonávania nových právnych predpisov na pracovné miesta</w:t>
      </w:r>
      <w:r w:rsidRPr="00206E00" w:rsidR="00D660AE">
        <w:t xml:space="preserve"> a </w:t>
      </w:r>
      <w:r w:rsidRPr="00206E00">
        <w:t>potrebu zručností vychádza nariadenie</w:t>
      </w:r>
      <w:r w:rsidRPr="00206E00" w:rsidR="00D660AE">
        <w:t xml:space="preserve"> z </w:t>
      </w:r>
      <w:r w:rsidRPr="00206E00">
        <w:t>dvoch referenčných štúdií, ktoré uverejnili Centrum pre európske politické štúdie (CEPS)</w:t>
      </w:r>
      <w:r w:rsidRPr="00206E00" w:rsidR="00086340">
        <w:rPr>
          <w:rStyle w:val="FootnoteReference"/>
          <w:color w:val="000000" w:themeColor="text1"/>
        </w:rPr>
        <w:footnoteReference w:id="10"/>
      </w:r>
      <w:r w:rsidRPr="00206E00" w:rsidR="00D660AE">
        <w:t xml:space="preserve"> a </w:t>
      </w:r>
      <w:r w:rsidRPr="00206E00">
        <w:t>mimovládna organizácia RREUSE</w:t>
      </w:r>
      <w:r w:rsidRPr="00206E00" w:rsidR="00086340">
        <w:rPr>
          <w:rStyle w:val="FootnoteReference"/>
          <w:color w:val="000000" w:themeColor="text1"/>
        </w:rPr>
        <w:footnoteReference w:id="11"/>
      </w:r>
      <w:r w:rsidRPr="00206E00">
        <w:t>, ako aj</w:t>
      </w:r>
      <w:r w:rsidRPr="00206E00" w:rsidR="00D660AE">
        <w:t xml:space="preserve"> z </w:t>
      </w:r>
      <w:r w:rsidRPr="00206E00">
        <w:t>výskumu Európskej aliancie pre batérie.</w:t>
      </w:r>
    </w:p>
    <w:p w:rsidRPr="00206E00" w:rsidR="00086340" w:rsidRDefault="00086340"/>
    <w:p w:rsidRPr="00206E00" w:rsidR="00086340" w:rsidRDefault="00D8716C">
      <w:pPr>
        <w:pStyle w:val="Heading2"/>
        <w:tabs>
          <w:tab w:val="left" w:pos="142"/>
        </w:tabs>
      </w:pPr>
      <w:r w:rsidRPr="00206E00">
        <w:t>V štúdii </w:t>
      </w:r>
      <w:r w:rsidRPr="00206E00" w:rsidR="00086340">
        <w:t>CEPS sa odhaduje, že rozvoj činností spojených so zberom</w:t>
      </w:r>
      <w:r w:rsidRPr="00206E00" w:rsidR="00D660AE">
        <w:t xml:space="preserve"> a </w:t>
      </w:r>
      <w:r w:rsidRPr="00206E00" w:rsidR="00086340">
        <w:t>recykláciou batérií bude mať vplyv na vytváranie priamych</w:t>
      </w:r>
      <w:r w:rsidRPr="00206E00" w:rsidR="00D660AE">
        <w:t xml:space="preserve"> a </w:t>
      </w:r>
      <w:r w:rsidRPr="00206E00" w:rsidR="00086340">
        <w:t xml:space="preserve">nepriamych </w:t>
      </w:r>
      <w:r w:rsidRPr="00206E00">
        <w:t>pracovných miest: približne 850 </w:t>
      </w:r>
      <w:r w:rsidRPr="00206E00" w:rsidR="00086340">
        <w:t>pracovných miest</w:t>
      </w:r>
      <w:r w:rsidRPr="00206E00" w:rsidR="00D660AE">
        <w:t xml:space="preserve"> s </w:t>
      </w:r>
      <w:r w:rsidRPr="00206E00" w:rsidR="00086340">
        <w:t>mierou recyklácie 55</w:t>
      </w:r>
      <w:r w:rsidRPr="00206E00">
        <w:t> % </w:t>
      </w:r>
      <w:r w:rsidRPr="00206E00" w:rsidR="00D660AE">
        <w:t>a </w:t>
      </w:r>
      <w:r w:rsidRPr="00206E00">
        <w:t>5 500 </w:t>
      </w:r>
      <w:r w:rsidRPr="00206E00" w:rsidR="00086340">
        <w:t>pracovných miest</w:t>
      </w:r>
      <w:r w:rsidRPr="00206E00" w:rsidR="00D660AE">
        <w:t xml:space="preserve"> s </w:t>
      </w:r>
      <w:r w:rsidRPr="00206E00">
        <w:t>mierou recyklácie </w:t>
      </w:r>
      <w:r w:rsidRPr="00206E00" w:rsidR="00086340">
        <w:t>75</w:t>
      </w:r>
      <w:r w:rsidRPr="00206E00" w:rsidR="00D660AE">
        <w:t> %</w:t>
      </w:r>
      <w:r w:rsidRPr="00206E00" w:rsidR="00086340">
        <w:t>.</w:t>
      </w:r>
    </w:p>
    <w:p w:rsidRPr="00206E00" w:rsidR="00086340" w:rsidP="00B00D23" w:rsidRDefault="00086340"/>
    <w:p w:rsidRPr="00206E00" w:rsidR="00F06045" w:rsidRDefault="00086340">
      <w:pPr>
        <w:pStyle w:val="Heading2"/>
      </w:pPr>
      <w:r w:rsidRPr="00206E00">
        <w:t>Podľa štúdie organizácie RREUSE však činnosť spojená</w:t>
      </w:r>
      <w:r w:rsidRPr="00206E00" w:rsidR="00D660AE">
        <w:t xml:space="preserve"> s </w:t>
      </w:r>
      <w:r w:rsidRPr="00206E00">
        <w:t>opravou</w:t>
      </w:r>
      <w:r w:rsidRPr="00206E00" w:rsidR="00D660AE">
        <w:t xml:space="preserve"> a </w:t>
      </w:r>
      <w:r w:rsidRPr="00206E00">
        <w:t>opätovným použitím batérií vytvára päť- až desaťkrát viac pracovných miest</w:t>
      </w:r>
      <w:r w:rsidRPr="00206E00" w:rsidR="00D660AE">
        <w:t xml:space="preserve"> v </w:t>
      </w:r>
      <w:r w:rsidRPr="00206E00">
        <w:t>„ekvivalentoch plného pracovného času“ ako činnosť spojená so zberom</w:t>
      </w:r>
      <w:r w:rsidRPr="00206E00" w:rsidR="00D660AE">
        <w:t xml:space="preserve"> a </w:t>
      </w:r>
      <w:r w:rsidRPr="00206E00">
        <w:t>recykláciou, čo nastoľuje otázku politických dôsledkov opatrení, ktoré uprednostňujú sektor zberu</w:t>
      </w:r>
      <w:r w:rsidRPr="00206E00" w:rsidR="00D660AE">
        <w:t xml:space="preserve"> a </w:t>
      </w:r>
      <w:r w:rsidRPr="00206E00">
        <w:t>recyklácie pred sektorom opráv</w:t>
      </w:r>
      <w:r w:rsidRPr="00206E00" w:rsidR="00D660AE">
        <w:t xml:space="preserve"> a </w:t>
      </w:r>
      <w:r w:rsidRPr="00206E00">
        <w:t>opätovného používania batérií.</w:t>
      </w:r>
    </w:p>
    <w:p w:rsidRPr="00206E00" w:rsidR="00D10B14" w:rsidRDefault="00D10B14"/>
    <w:p w:rsidRPr="00206E00" w:rsidR="00086340" w:rsidP="0008516E" w:rsidRDefault="00086340">
      <w:pPr>
        <w:pStyle w:val="Heading2"/>
      </w:pPr>
      <w:r w:rsidRPr="00206E00">
        <w:t>Nedostatok zručností sa týka najmä ekodizajnu batérií</w:t>
      </w:r>
      <w:r w:rsidRPr="00206E00" w:rsidR="00D660AE">
        <w:t xml:space="preserve"> s </w:t>
      </w:r>
      <w:r w:rsidRPr="00206E00">
        <w:t>cieľom optimalizovať ich životnosť</w:t>
      </w:r>
      <w:r w:rsidRPr="00206E00" w:rsidR="00D660AE">
        <w:t xml:space="preserve"> a </w:t>
      </w:r>
      <w:r w:rsidRPr="00206E00">
        <w:t>využitie.</w:t>
      </w:r>
    </w:p>
    <w:p w:rsidRPr="00206E00" w:rsidR="00F80EB4" w:rsidP="00B00D23" w:rsidRDefault="00F80EB4"/>
    <w:p w:rsidRPr="00206E00" w:rsidR="0017378E" w:rsidP="0008516E" w:rsidRDefault="0017378E">
      <w:pPr>
        <w:pStyle w:val="Heading2"/>
      </w:pPr>
      <w:r w:rsidRPr="00206E00">
        <w:t>Na zlepšenie investícií do udržateľnej výrobnej kapacity batérií</w:t>
      </w:r>
      <w:r w:rsidRPr="00206E00" w:rsidR="00D660AE">
        <w:t xml:space="preserve"> z </w:t>
      </w:r>
      <w:r w:rsidRPr="00206E00">
        <w:t>hľadiska sociálnych</w:t>
      </w:r>
      <w:r w:rsidRPr="00206E00" w:rsidR="00D660AE">
        <w:t xml:space="preserve"> a </w:t>
      </w:r>
      <w:r w:rsidRPr="00206E00">
        <w:t>environmentálnych rizík je potrebné zosúladiť projekty súvisiace</w:t>
      </w:r>
      <w:r w:rsidRPr="00206E00" w:rsidR="00D660AE">
        <w:t xml:space="preserve"> s </w:t>
      </w:r>
      <w:r w:rsidRPr="00206E00">
        <w:t>batériami</w:t>
      </w:r>
      <w:r w:rsidRPr="00206E00" w:rsidR="00D660AE">
        <w:t xml:space="preserve"> s </w:t>
      </w:r>
      <w:r w:rsidRPr="00206E00" w:rsidR="00D8716C">
        <w:t>taxonómiou </w:t>
      </w:r>
      <w:r w:rsidRPr="00206E00">
        <w:t>EÚ</w:t>
      </w:r>
      <w:r w:rsidRPr="00206E00" w:rsidR="004E7005">
        <w:rPr>
          <w:rStyle w:val="FootnoteReference"/>
        </w:rPr>
        <w:footnoteReference w:id="12"/>
      </w:r>
      <w:r w:rsidRPr="00206E00" w:rsidR="00D660AE">
        <w:t xml:space="preserve"> v </w:t>
      </w:r>
      <w:r w:rsidRPr="00206E00">
        <w:t>oblasti udržateľných činností</w:t>
      </w:r>
      <w:r w:rsidRPr="00206E00" w:rsidR="00D660AE">
        <w:t xml:space="preserve"> s </w:t>
      </w:r>
      <w:r w:rsidRPr="00206E00" w:rsidR="00D8716C">
        <w:t>prihliadnutím na Program </w:t>
      </w:r>
      <w:r w:rsidRPr="00206E00">
        <w:t>InvestEU.</w:t>
      </w:r>
    </w:p>
    <w:p w:rsidRPr="00206E00" w:rsidR="00086340" w:rsidP="00B00D23" w:rsidRDefault="00086340"/>
    <w:p w:rsidRPr="00206E00" w:rsidR="00D8716C" w:rsidP="00B00D23" w:rsidRDefault="00D8716C"/>
    <w:p w:rsidRPr="00206E00" w:rsidR="00086340" w:rsidP="00755325" w:rsidRDefault="00086340">
      <w:pPr>
        <w:pStyle w:val="Heading1"/>
        <w:keepNext/>
        <w:keepLines/>
      </w:pPr>
      <w:r w:rsidRPr="00206E00">
        <w:rPr>
          <w:b/>
        </w:rPr>
        <w:lastRenderedPageBreak/>
        <w:t>Konkrétne pripomienky</w:t>
      </w:r>
    </w:p>
    <w:p w:rsidRPr="00206E00" w:rsidR="00086340" w:rsidP="00B00D23" w:rsidRDefault="00086340"/>
    <w:p w:rsidRPr="00206E00" w:rsidR="00086340" w:rsidRDefault="00D8716C">
      <w:pPr>
        <w:pStyle w:val="Heading2"/>
      </w:pPr>
      <w:r w:rsidRPr="00206E00">
        <w:t>EHSV </w:t>
      </w:r>
      <w:r w:rsidRPr="00206E00" w:rsidR="00086340">
        <w:t>žiada, aby sa vymedzili presnejšie</w:t>
      </w:r>
      <w:r w:rsidRPr="00206E00" w:rsidR="00D660AE">
        <w:t xml:space="preserve"> a </w:t>
      </w:r>
      <w:r w:rsidRPr="00206E00" w:rsidR="00086340">
        <w:t>operatívnejšie riadiace</w:t>
      </w:r>
      <w:r w:rsidRPr="00206E00" w:rsidR="00D660AE">
        <w:t xml:space="preserve"> a </w:t>
      </w:r>
      <w:r w:rsidRPr="00206E00" w:rsidR="00086340">
        <w:t>vykonávacie mechanizmy</w:t>
      </w:r>
      <w:r w:rsidRPr="00206E00" w:rsidR="00D660AE">
        <w:t xml:space="preserve"> a </w:t>
      </w:r>
      <w:r w:rsidRPr="00206E00" w:rsidR="00086340">
        <w:t>nástroje, ktoré umožnia skutočné</w:t>
      </w:r>
      <w:r w:rsidRPr="00206E00" w:rsidR="00D660AE">
        <w:t xml:space="preserve"> a </w:t>
      </w:r>
      <w:r w:rsidRPr="00206E00" w:rsidR="00086340">
        <w:t>efektívne uplatňovanie všetkých opatrení stanovených</w:t>
      </w:r>
      <w:r w:rsidRPr="00206E00" w:rsidR="00D660AE">
        <w:t xml:space="preserve"> v </w:t>
      </w:r>
      <w:r w:rsidRPr="00206E00" w:rsidR="00086340">
        <w:t>novom nariadení.</w:t>
      </w:r>
    </w:p>
    <w:p w:rsidRPr="00206E00" w:rsidR="00086340" w:rsidP="00B00D23" w:rsidRDefault="00086340"/>
    <w:p w:rsidRPr="00206E00" w:rsidR="00086340" w:rsidRDefault="00D8716C">
      <w:pPr>
        <w:pStyle w:val="Heading2"/>
      </w:pPr>
      <w:r w:rsidRPr="00206E00">
        <w:t>EHSV </w:t>
      </w:r>
      <w:r w:rsidRPr="00206E00" w:rsidR="00086340">
        <w:t>preto navrhuje, aby sa na tieto výzvy reagovalo prehodnotením úlohy Európskej chemickej agentúry (ECHA) so sídlom</w:t>
      </w:r>
      <w:r w:rsidRPr="00206E00" w:rsidR="00D660AE">
        <w:t xml:space="preserve"> v </w:t>
      </w:r>
      <w:r w:rsidRPr="00206E00" w:rsidR="00086340">
        <w:t>Helsinkách, ktorá je zodpovedná za vykonávanie nariadenia REACH (z roku 2005, revidovaného</w:t>
      </w:r>
      <w:r w:rsidRPr="00206E00" w:rsidR="00D660AE">
        <w:t xml:space="preserve"> v </w:t>
      </w:r>
      <w:r w:rsidRPr="00206E00" w:rsidR="00086340">
        <w:t>roku 2018)</w:t>
      </w:r>
      <w:r w:rsidRPr="00206E00" w:rsidR="00D660AE">
        <w:t xml:space="preserve"> o </w:t>
      </w:r>
      <w:r w:rsidRPr="00206E00" w:rsidR="00086340">
        <w:t>chemických látkach, aby sa do nej zahrnula registrácia, hodnotenie, monitorovanie</w:t>
      </w:r>
      <w:r w:rsidRPr="00206E00" w:rsidR="00D660AE">
        <w:t xml:space="preserve"> a </w:t>
      </w:r>
      <w:r w:rsidRPr="00206E00" w:rsidR="00086340">
        <w:t>kontrola nových noriem</w:t>
      </w:r>
      <w:r w:rsidRPr="00206E00" w:rsidR="00D660AE">
        <w:t xml:space="preserve"> a </w:t>
      </w:r>
      <w:r w:rsidRPr="00206E00" w:rsidR="00086340">
        <w:t>pravidiel stanovených</w:t>
      </w:r>
      <w:r w:rsidRPr="00206E00" w:rsidR="00D660AE">
        <w:t xml:space="preserve"> v </w:t>
      </w:r>
      <w:r w:rsidRPr="00206E00" w:rsidR="00086340">
        <w:t>novom nariadení</w:t>
      </w:r>
      <w:r w:rsidRPr="00206E00" w:rsidR="00D660AE">
        <w:t xml:space="preserve"> o </w:t>
      </w:r>
      <w:r w:rsidRPr="00206E00" w:rsidR="00086340">
        <w:t>udržateľnosti batérií.</w:t>
      </w:r>
    </w:p>
    <w:p w:rsidRPr="00206E00" w:rsidR="00086340" w:rsidP="00B00D23" w:rsidRDefault="00086340"/>
    <w:p w:rsidRPr="00206E00" w:rsidR="00086340" w:rsidRDefault="00086340">
      <w:pPr>
        <w:pStyle w:val="Heading2"/>
      </w:pPr>
      <w:r w:rsidRPr="00206E00">
        <w:t>Rozvoj udržateľného sektora batérií musí reagovať na problém súladu</w:t>
      </w:r>
      <w:r w:rsidRPr="00206E00" w:rsidR="00D660AE">
        <w:t xml:space="preserve"> s </w:t>
      </w:r>
      <w:r w:rsidRPr="00206E00">
        <w:t>normami EÚ</w:t>
      </w:r>
      <w:r w:rsidRPr="00206E00" w:rsidR="00D660AE">
        <w:t xml:space="preserve"> v </w:t>
      </w:r>
      <w:r w:rsidRPr="00206E00">
        <w:t>oblasti bezpečnosti</w:t>
      </w:r>
      <w:r w:rsidRPr="00206E00" w:rsidR="00D660AE">
        <w:t xml:space="preserve"> a </w:t>
      </w:r>
      <w:r w:rsidRPr="00206E00">
        <w:t>ochrany zdravia pri práci, ktorý predstavuje ochrana pracovníkov pri kontakte</w:t>
      </w:r>
      <w:r w:rsidRPr="00206E00" w:rsidR="00D660AE">
        <w:t xml:space="preserve"> s </w:t>
      </w:r>
      <w:r w:rsidRPr="00206E00">
        <w:t>batériami</w:t>
      </w:r>
      <w:r w:rsidRPr="00206E00" w:rsidR="00D660AE">
        <w:t xml:space="preserve"> a </w:t>
      </w:r>
      <w:r w:rsidRPr="00206E00">
        <w:t>recyklovateľnými surovinami,</w:t>
      </w:r>
      <w:r w:rsidRPr="00206E00" w:rsidR="00D660AE">
        <w:t xml:space="preserve"> z </w:t>
      </w:r>
      <w:r w:rsidRPr="00206E00">
        <w:t>ktorých sa vyrábajú priemyselne batérie alebo batérie do vozidiel. Európska agentúra pre bezpečnosť</w:t>
      </w:r>
      <w:r w:rsidRPr="00206E00" w:rsidR="00D660AE">
        <w:t xml:space="preserve"> a </w:t>
      </w:r>
      <w:r w:rsidRPr="00206E00">
        <w:t>ochranu zdravia pri práci (EU-OSHA) so sídlom</w:t>
      </w:r>
      <w:r w:rsidRPr="00206E00" w:rsidR="00D660AE">
        <w:t xml:space="preserve"> v </w:t>
      </w:r>
      <w:r w:rsidRPr="00206E00">
        <w:t>Bilbau vypracovala odborné posudky</w:t>
      </w:r>
      <w:r w:rsidRPr="00206E00" w:rsidR="00D660AE">
        <w:t xml:space="preserve"> k </w:t>
      </w:r>
      <w:r w:rsidRPr="00206E00">
        <w:t>tejto téme, ktoré je potrebné zohľadniť, aby nariadenie obsahovalo príslušné nariadenia. EHSV preto navr</w:t>
      </w:r>
      <w:r w:rsidRPr="00206E00" w:rsidR="00D8716C">
        <w:t>huje posilniť aj úlohu agentúry </w:t>
      </w:r>
      <w:r w:rsidRPr="00206E00">
        <w:t>EU-OSHA.</w:t>
      </w:r>
    </w:p>
    <w:p w:rsidRPr="00206E00" w:rsidR="00086340" w:rsidP="00755325" w:rsidRDefault="00086340">
      <w:pPr>
        <w:rPr>
          <w:rFonts w:cs="Calibri"/>
          <w:color w:val="000000"/>
        </w:rPr>
      </w:pPr>
    </w:p>
    <w:p w:rsidRPr="00206E00" w:rsidR="00086340" w:rsidRDefault="003C1495">
      <w:pPr>
        <w:pStyle w:val="Heading2"/>
      </w:pPr>
      <w:r w:rsidRPr="00206E00">
        <w:t>Pokiaľ ide</w:t>
      </w:r>
      <w:r w:rsidRPr="00206E00" w:rsidR="00D660AE">
        <w:t xml:space="preserve"> o </w:t>
      </w:r>
      <w:r w:rsidRPr="00206E00">
        <w:t>vykonávanie náležitej starostlivosti pri monitorovaní dodávateľského reťazca batérií</w:t>
      </w:r>
      <w:r w:rsidRPr="00206E00" w:rsidR="00D660AE">
        <w:t xml:space="preserve"> a </w:t>
      </w:r>
      <w:r w:rsidRPr="00206E00">
        <w:t>nezávislého systému auditu, monitorovania</w:t>
      </w:r>
      <w:r w:rsidRPr="00206E00" w:rsidR="00D660AE">
        <w:t xml:space="preserve"> a </w:t>
      </w:r>
      <w:r w:rsidRPr="00206E00">
        <w:t>kontroly pod záštitou Európskej komisie,</w:t>
      </w:r>
      <w:r w:rsidRPr="00206E00" w:rsidR="00D660AE">
        <w:t xml:space="preserve"> v </w:t>
      </w:r>
      <w:r w:rsidRPr="00206E00">
        <w:t>súlade</w:t>
      </w:r>
      <w:r w:rsidRPr="00206E00" w:rsidR="00D660AE">
        <w:t xml:space="preserve"> s </w:t>
      </w:r>
      <w:r w:rsidRPr="00206E00">
        <w:t>pravidlami stanovenými</w:t>
      </w:r>
      <w:r w:rsidRPr="00206E00" w:rsidR="00D660AE">
        <w:t xml:space="preserve"> v </w:t>
      </w:r>
      <w:r w:rsidRPr="00206E00">
        <w:t>príručke OECD</w:t>
      </w:r>
      <w:r w:rsidRPr="00206E00" w:rsidR="00D660AE">
        <w:t xml:space="preserve"> k </w:t>
      </w:r>
      <w:r w:rsidRPr="00206E00">
        <w:t>tejto téme</w:t>
      </w:r>
      <w:r w:rsidRPr="00206E00" w:rsidR="00BA5664">
        <w:rPr>
          <w:rStyle w:val="FootnoteReference"/>
          <w:color w:val="000000" w:themeColor="text1"/>
        </w:rPr>
        <w:footnoteReference w:id="13"/>
      </w:r>
      <w:r w:rsidRPr="00206E00">
        <w:t xml:space="preserve">, </w:t>
      </w:r>
      <w:r w:rsidRPr="00206E00">
        <w:rPr>
          <w:color w:val="000000"/>
        </w:rPr>
        <w:t>EHSV</w:t>
      </w:r>
      <w:r w:rsidRPr="00206E00">
        <w:t xml:space="preserve"> požaduje úplnú transparentnosť pri implementácii tohto monitorovacieho systému.</w:t>
      </w:r>
    </w:p>
    <w:p w:rsidRPr="00206E00" w:rsidR="00086340" w:rsidP="00B00D23" w:rsidRDefault="00086340"/>
    <w:p w:rsidRPr="00206E00" w:rsidR="00086340" w:rsidRDefault="003C1495">
      <w:pPr>
        <w:pStyle w:val="Heading2"/>
      </w:pPr>
      <w:r w:rsidRPr="00206E00">
        <w:t>Pokiaľ ide</w:t>
      </w:r>
      <w:r w:rsidRPr="00206E00" w:rsidR="00D660AE">
        <w:t xml:space="preserve"> o </w:t>
      </w:r>
      <w:r w:rsidRPr="00206E00">
        <w:t>výzvy</w:t>
      </w:r>
      <w:r w:rsidRPr="00206E00" w:rsidR="00D660AE">
        <w:t xml:space="preserve"> v </w:t>
      </w:r>
      <w:r w:rsidRPr="00206E00">
        <w:t>oblasti pracovných miest</w:t>
      </w:r>
      <w:r w:rsidRPr="00206E00" w:rsidR="00D660AE">
        <w:t xml:space="preserve"> a </w:t>
      </w:r>
      <w:r w:rsidRPr="00206E00">
        <w:t>zručností</w:t>
      </w:r>
      <w:r w:rsidRPr="00206E00" w:rsidR="00D660AE">
        <w:t xml:space="preserve"> s </w:t>
      </w:r>
      <w:r w:rsidRPr="00206E00">
        <w:t xml:space="preserve">cieľom vykonávať opatrenia nariadenia zamerané na podporu rozvoja európskeho priemyselného sektora pre oblasť udržateľných batérií, </w:t>
      </w:r>
      <w:r w:rsidRPr="00206E00">
        <w:rPr>
          <w:color w:val="000000"/>
        </w:rPr>
        <w:t>EHSV</w:t>
      </w:r>
      <w:r w:rsidRPr="00206E00">
        <w:t xml:space="preserve"> navrhuje rozšíriť</w:t>
      </w:r>
      <w:r w:rsidRPr="00206E00" w:rsidR="00D660AE">
        <w:t xml:space="preserve"> a </w:t>
      </w:r>
      <w:r w:rsidRPr="00206E00">
        <w:t>posilniť úlohu strediska Cedefop</w:t>
      </w:r>
      <w:r w:rsidRPr="00206E00" w:rsidR="00D660AE">
        <w:t xml:space="preserve"> v </w:t>
      </w:r>
      <w:r w:rsidRPr="00206E00">
        <w:t>tejto oblasti, ako aj úlohu príslušných európskych výborov pre medziodvetvový dialóg (elektrická energia, metalurgia, chemický priemysel, ťažobný priemysel atď.) prostredníctvom spravodlivej transformácie začlenenej do Európskej zelenej dohody. Inštitúcie odborného vzdelávania</w:t>
      </w:r>
      <w:r w:rsidRPr="00206E00" w:rsidR="00D660AE">
        <w:t xml:space="preserve"> v </w:t>
      </w:r>
      <w:r w:rsidRPr="00206E00">
        <w:t>členských štátoch budú musieť zavádzať podobné vzdelávacie projekty do študijných programov pre študentov, aby sa zabezpečila dostupnosť vyškolených pracovníkov pre udržateľný európsky priemysel</w:t>
      </w:r>
      <w:r w:rsidRPr="00206E00" w:rsidR="00D660AE">
        <w:t xml:space="preserve"> v </w:t>
      </w:r>
      <w:r w:rsidRPr="00206E00">
        <w:t>oblasti batérií.</w:t>
      </w:r>
    </w:p>
    <w:p w:rsidRPr="00206E00" w:rsidR="00086340" w:rsidP="00B00D23" w:rsidRDefault="00086340"/>
    <w:p w:rsidRPr="00206E00" w:rsidR="00D660AE" w:rsidRDefault="00D8716C">
      <w:pPr>
        <w:pStyle w:val="Heading2"/>
      </w:pPr>
      <w:r w:rsidRPr="00206E00">
        <w:t>V </w:t>
      </w:r>
      <w:r w:rsidRPr="00206E00" w:rsidR="00086340">
        <w:t>rámci iniciatívy „Pakt pre zručnosti“ Európskej komisie sa zač</w:t>
      </w:r>
      <w:r w:rsidRPr="00206E00" w:rsidR="00AC79C4">
        <w:t>ali realizovať projekty ALBATTS </w:t>
      </w:r>
      <w:r w:rsidRPr="00206E00" w:rsidR="00086340">
        <w:t>(Aliancia pre kvalifikáciu</w:t>
      </w:r>
      <w:r w:rsidRPr="00206E00" w:rsidR="00D660AE">
        <w:t xml:space="preserve"> a </w:t>
      </w:r>
      <w:r w:rsidRPr="00206E00" w:rsidR="00086340">
        <w:t>odborné vzdelávanie</w:t>
      </w:r>
      <w:r w:rsidRPr="00206E00" w:rsidR="00D660AE">
        <w:t xml:space="preserve"> v </w:t>
      </w:r>
      <w:r w:rsidRPr="00206E00" w:rsidR="00086340">
        <w:t>technológiách batérií), DRIVES (rozvoj</w:t>
      </w:r>
      <w:r w:rsidRPr="00206E00" w:rsidR="00D660AE">
        <w:t xml:space="preserve"> a </w:t>
      </w:r>
      <w:r w:rsidRPr="00206E00" w:rsidR="00086340">
        <w:t>výskum inovačných odborných zručností)</w:t>
      </w:r>
      <w:r w:rsidRPr="00206E00" w:rsidR="00D660AE">
        <w:t xml:space="preserve"> a </w:t>
      </w:r>
      <w:r w:rsidRPr="00206E00" w:rsidR="00086340">
        <w:t>COSME (viacročný európsky program pre konkurencieschopnosť podnikov</w:t>
      </w:r>
      <w:r w:rsidRPr="00206E00" w:rsidR="00D660AE">
        <w:t xml:space="preserve"> a </w:t>
      </w:r>
      <w:r w:rsidRPr="00206E00" w:rsidR="00086340">
        <w:t>MSP). EHSV sa domnieva, že prioritou je najmä identifikovať</w:t>
      </w:r>
      <w:r w:rsidRPr="00206E00" w:rsidR="00D660AE">
        <w:t xml:space="preserve"> a </w:t>
      </w:r>
      <w:r w:rsidRPr="00206E00" w:rsidR="00086340">
        <w:t>zrealizovať vzdelávacie projekty</w:t>
      </w:r>
      <w:r w:rsidRPr="00206E00" w:rsidR="00D660AE">
        <w:t xml:space="preserve"> v </w:t>
      </w:r>
      <w:r w:rsidRPr="00206E00" w:rsidR="00086340">
        <w:t>oblasti nových zručností venovaných ekodizajnu, ale aj diagnostike batérií na účely ich opravy, renovovania</w:t>
      </w:r>
      <w:r w:rsidRPr="00206E00" w:rsidR="00D660AE">
        <w:t xml:space="preserve"> a </w:t>
      </w:r>
      <w:r w:rsidRPr="00206E00" w:rsidR="00086340">
        <w:t>recyklácie</w:t>
      </w:r>
      <w:r w:rsidRPr="00206E00" w:rsidR="00D660AE">
        <w:t xml:space="preserve"> s </w:t>
      </w:r>
      <w:r w:rsidRPr="00206E00" w:rsidR="00086340">
        <w:t xml:space="preserve">aktívnou </w:t>
      </w:r>
      <w:r w:rsidRPr="00206E00" w:rsidR="00086340">
        <w:lastRenderedPageBreak/>
        <w:t>účasťou sociálnych partnerov</w:t>
      </w:r>
      <w:r w:rsidRPr="00206E00" w:rsidR="00D660AE">
        <w:t xml:space="preserve"> a v </w:t>
      </w:r>
      <w:r w:rsidRPr="00206E00" w:rsidR="00086340">
        <w:t>spolupráci</w:t>
      </w:r>
      <w:r w:rsidRPr="00206E00" w:rsidR="00D660AE">
        <w:t xml:space="preserve"> s </w:t>
      </w:r>
      <w:r w:rsidRPr="00206E00" w:rsidR="00086340">
        <w:t>akýmikoľvek priamo súvisiacimi vnútroštátnymi mechanizmami alebo určitými oblasťami zamestnanosti</w:t>
      </w:r>
      <w:r w:rsidRPr="00206E00" w:rsidR="00D660AE">
        <w:t>.</w:t>
      </w:r>
    </w:p>
    <w:p w:rsidRPr="00206E00" w:rsidR="00086340" w:rsidRDefault="00086340"/>
    <w:p w:rsidRPr="00206E00" w:rsidR="00086340" w:rsidP="00D03D88" w:rsidRDefault="00086340">
      <w:pPr>
        <w:pStyle w:val="Heading2"/>
        <w:numPr>
          <w:ilvl w:val="0"/>
          <w:numId w:val="0"/>
        </w:numPr>
        <w:ind w:left="567"/>
      </w:pPr>
      <w:r w:rsidRPr="00206E00">
        <w:t>Na zlepšenie udržateľnosti, kvality</w:t>
      </w:r>
      <w:r w:rsidRPr="00206E00" w:rsidR="00D660AE">
        <w:t xml:space="preserve"> a </w:t>
      </w:r>
      <w:r w:rsidRPr="00206E00">
        <w:t>bezpečnosti výrobkov</w:t>
      </w:r>
      <w:r w:rsidRPr="00206E00" w:rsidR="00D660AE">
        <w:t xml:space="preserve"> a </w:t>
      </w:r>
      <w:r w:rsidRPr="00206E00">
        <w:t>procesov</w:t>
      </w:r>
      <w:r w:rsidRPr="00206E00" w:rsidR="00D660AE">
        <w:t xml:space="preserve"> a </w:t>
      </w:r>
      <w:r w:rsidRPr="00206E00">
        <w:t>na zníženie nákladov je potrebný výskum</w:t>
      </w:r>
      <w:r w:rsidRPr="00206E00" w:rsidR="00D660AE">
        <w:t xml:space="preserve"> a </w:t>
      </w:r>
      <w:r w:rsidRPr="00206E00">
        <w:t>inovácie. To znamená okamžite uprednostniť výskum</w:t>
      </w:r>
      <w:r w:rsidRPr="00206E00" w:rsidR="00D660AE">
        <w:t xml:space="preserve"> a </w:t>
      </w:r>
      <w:r w:rsidRPr="00206E00">
        <w:t>vývoj batérií</w:t>
      </w:r>
      <w:r w:rsidRPr="00206E00" w:rsidR="00D660AE">
        <w:t xml:space="preserve"> s </w:t>
      </w:r>
      <w:r w:rsidRPr="00206E00">
        <w:t>holistickým prístupom</w:t>
      </w:r>
      <w:r w:rsidRPr="00206E00" w:rsidR="00D660AE">
        <w:t xml:space="preserve"> v </w:t>
      </w:r>
      <w:r w:rsidRPr="00206E00">
        <w:t>celom hodnotovom reťazci batérií</w:t>
      </w:r>
      <w:r w:rsidRPr="00206E00" w:rsidR="00D660AE">
        <w:t xml:space="preserve"> a </w:t>
      </w:r>
      <w:r w:rsidRPr="00206E00">
        <w:t>významnými</w:t>
      </w:r>
      <w:r w:rsidRPr="00206E00" w:rsidR="00D660AE">
        <w:t xml:space="preserve"> a </w:t>
      </w:r>
      <w:r w:rsidRPr="00206E00">
        <w:t>nepretržitými investíciami</w:t>
      </w:r>
      <w:r w:rsidRPr="00206E00" w:rsidR="00D660AE">
        <w:t xml:space="preserve"> v </w:t>
      </w:r>
      <w:r w:rsidRPr="00206E00">
        <w:t>priebehu času, ktoré pokrývajú krátkodobé aj dlhodobé výskumné priority.</w:t>
      </w:r>
    </w:p>
    <w:p w:rsidRPr="00206E00" w:rsidR="00086340" w:rsidP="00755325" w:rsidRDefault="00086340">
      <w:pPr>
        <w:ind w:left="567" w:hanging="567"/>
      </w:pPr>
    </w:p>
    <w:p w:rsidRPr="00206E00" w:rsidR="006C6F8B" w:rsidRDefault="00E24C15">
      <w:pPr>
        <w:pStyle w:val="Heading2"/>
        <w:rPr>
          <w:shd w:val="clear" w:color="auto" w:fill="FFFFFF"/>
        </w:rPr>
      </w:pPr>
      <w:r w:rsidRPr="00206E00">
        <w:rPr>
          <w:shd w:val="clear" w:color="auto" w:fill="FFFFFF"/>
        </w:rPr>
        <w:t>V oblasti uskladňovania energie budú mať batérie</w:t>
      </w:r>
      <w:r w:rsidRPr="00206E00" w:rsidR="00D660AE">
        <w:rPr>
          <w:shd w:val="clear" w:color="auto" w:fill="FFFFFF"/>
        </w:rPr>
        <w:t xml:space="preserve"> a </w:t>
      </w:r>
      <w:r w:rsidRPr="00206E00">
        <w:rPr>
          <w:shd w:val="clear" w:color="auto" w:fill="FFFFFF"/>
        </w:rPr>
        <w:t>vodík doplnkové funkcie. Cieľom bude maximalizovať súčinnosť medzi týmito dvoma technologickými riešeniami.</w:t>
      </w:r>
    </w:p>
    <w:p w:rsidRPr="00206E00" w:rsidR="00D10B14" w:rsidP="00755325" w:rsidRDefault="00D10B14"/>
    <w:p w:rsidRPr="00206E00" w:rsidR="00086340" w:rsidRDefault="00086340">
      <w:pPr>
        <w:pStyle w:val="Heading2"/>
      </w:pPr>
      <w:r w:rsidRPr="00206E00">
        <w:t>Očakáva sa, že nové digitálne technológie pomôžu urýchliť vývoj</w:t>
      </w:r>
      <w:r w:rsidRPr="00206E00" w:rsidR="00D660AE">
        <w:t xml:space="preserve"> v </w:t>
      </w:r>
      <w:r w:rsidRPr="00206E00">
        <w:t>sektore batérií: od zrýchleného objavovania materiálov po optimalizáciu medzisektorového využívania batériových systémov na podporu energetickej siete.</w:t>
      </w:r>
    </w:p>
    <w:p w:rsidRPr="00206E00" w:rsidR="00086340" w:rsidP="00755325" w:rsidRDefault="00086340">
      <w:pPr>
        <w:ind w:left="567" w:hanging="567"/>
      </w:pPr>
    </w:p>
    <w:p w:rsidRPr="00206E00" w:rsidR="00086340" w:rsidRDefault="003C464F">
      <w:pPr>
        <w:pStyle w:val="Heading2"/>
      </w:pPr>
      <w:r w:rsidRPr="00206E00">
        <w:t>Recyklácia,obnova</w:t>
      </w:r>
      <w:r w:rsidRPr="00206E00" w:rsidR="00D660AE">
        <w:t xml:space="preserve"> a </w:t>
      </w:r>
      <w:r w:rsidRPr="00206E00">
        <w:t>opätovné použitie umožňujú zabezpečiť dodávateľský hodnotový reťazec. Podpora výskumu</w:t>
      </w:r>
      <w:r w:rsidRPr="00206E00" w:rsidR="00D660AE">
        <w:t xml:space="preserve"> a </w:t>
      </w:r>
      <w:r w:rsidRPr="00206E00">
        <w:t>vývoja</w:t>
      </w:r>
      <w:r w:rsidRPr="00206E00" w:rsidR="00D660AE">
        <w:t xml:space="preserve"> v </w:t>
      </w:r>
      <w:r w:rsidRPr="00206E00">
        <w:t>oblasti ekodizajnu je nevyhnutná. EHSV navrhuje, aby sa to uskutočnilo vo forme dôležitého projektu spoločného európskeho záujmu. Cieľom je rozvíjať odborné znalosti, ktoré umožňujú čo najlepšie zhodnocovať batérie ich preorientovaním</w:t>
      </w:r>
      <w:r w:rsidRPr="00206E00" w:rsidR="00B00D23">
        <w:t> – </w:t>
      </w:r>
      <w:r w:rsidRPr="00206E00">
        <w:t>pokiaľ je to možné</w:t>
      </w:r>
      <w:r w:rsidRPr="00206E00" w:rsidR="00B00D23">
        <w:t> – </w:t>
      </w:r>
      <w:r w:rsidRPr="00206E00">
        <w:t>na obnovu, druhotné využitie alebo ešte lepšie zhodnotenie ich komponentov</w:t>
      </w:r>
      <w:r w:rsidRPr="00206E00" w:rsidR="00D660AE">
        <w:t xml:space="preserve"> a </w:t>
      </w:r>
      <w:r w:rsidRPr="00206E00">
        <w:t>implementáciu optimalizovaných procesov</w:t>
      </w:r>
      <w:r w:rsidRPr="00206E00" w:rsidR="00D660AE">
        <w:t xml:space="preserve"> z </w:t>
      </w:r>
      <w:r w:rsidRPr="00206E00">
        <w:t>hľadiska životného prostredia, zaručujúcich bezpečnosť zamestnancov</w:t>
      </w:r>
      <w:r w:rsidRPr="00206E00" w:rsidR="00D660AE">
        <w:t xml:space="preserve"> a </w:t>
      </w:r>
      <w:r w:rsidRPr="00206E00">
        <w:t>vyúsťujúcich do ekonomického modelu prispievajúceho</w:t>
      </w:r>
      <w:r w:rsidRPr="00206E00" w:rsidR="00D660AE">
        <w:t xml:space="preserve"> k </w:t>
      </w:r>
      <w:r w:rsidRPr="00206E00">
        <w:t>udržateľnosti tejto činnosti na európskom území. Ide najmä</w:t>
      </w:r>
      <w:r w:rsidRPr="00206E00" w:rsidR="00D660AE">
        <w:t xml:space="preserve"> o </w:t>
      </w:r>
      <w:r w:rsidRPr="00206E00">
        <w:t>úspešnú realizáciu konkurenčných priemyselných procesov, ktoré umožňujú vyrábať materiály</w:t>
      </w:r>
      <w:r w:rsidRPr="00206E00" w:rsidR="00D660AE">
        <w:t xml:space="preserve"> v </w:t>
      </w:r>
      <w:r w:rsidRPr="00206E00">
        <w:t>kvalite „batérií“ prostredníctvom recyklácie</w:t>
      </w:r>
      <w:r w:rsidRPr="00206E00" w:rsidR="00D660AE">
        <w:t xml:space="preserve"> s </w:t>
      </w:r>
      <w:r w:rsidRPr="00206E00">
        <w:t>výraznejšou podporou pre spoločnosti fungujúce integrovaným spôsobom</w:t>
      </w:r>
      <w:r w:rsidRPr="00206E00" w:rsidR="00D660AE">
        <w:t xml:space="preserve"> s </w:t>
      </w:r>
      <w:r w:rsidRPr="00206E00">
        <w:t>uzavretým cyklom.</w:t>
      </w:r>
    </w:p>
    <w:p w:rsidRPr="00206E00" w:rsidR="00086340" w:rsidP="00755325" w:rsidRDefault="00086340"/>
    <w:p w:rsidRPr="00206E00" w:rsidR="00086340" w:rsidRDefault="00612F91">
      <w:pPr>
        <w:pStyle w:val="Heading2"/>
      </w:pPr>
      <w:bookmarkStart w:name="_Hlk60908299" w:id="0"/>
      <w:r w:rsidRPr="00206E00">
        <w:t>V súlade so záväzkami prijatými EÚ</w:t>
      </w:r>
      <w:r w:rsidRPr="00206E00" w:rsidR="00D660AE">
        <w:t xml:space="preserve"> v </w:t>
      </w:r>
      <w:r w:rsidRPr="00206E00">
        <w:t>oblas</w:t>
      </w:r>
      <w:r w:rsidRPr="00206E00" w:rsidR="00D8716C">
        <w:t>ti uhlíkovej neutrality do roku </w:t>
      </w:r>
      <w:r w:rsidRPr="00206E00">
        <w:t>2050 (s prechodným cieľom znížiť emisie skleníkových plynov do roku 2030</w:t>
      </w:r>
      <w:r w:rsidRPr="00206E00" w:rsidR="00D660AE">
        <w:t xml:space="preserve"> o </w:t>
      </w:r>
      <w:r w:rsidRPr="00206E00">
        <w:t>55</w:t>
      </w:r>
      <w:r w:rsidRPr="00206E00" w:rsidR="00D660AE">
        <w:t> %</w:t>
      </w:r>
      <w:r w:rsidRPr="00206E00">
        <w:t>) EHSV navrhuje urýchlene zaviesť maximálne limity (keďže dátum júl 2027 je</w:t>
      </w:r>
      <w:r w:rsidRPr="00206E00" w:rsidR="00D660AE">
        <w:t xml:space="preserve"> v </w:t>
      </w:r>
      <w:r w:rsidRPr="00206E00">
        <w:t>súvislosti</w:t>
      </w:r>
      <w:r w:rsidRPr="00206E00" w:rsidR="00D660AE">
        <w:t xml:space="preserve"> s </w:t>
      </w:r>
      <w:r w:rsidRPr="00206E00">
        <w:t>cieľmi stanovenými Európskou radou 11</w:t>
      </w:r>
      <w:r w:rsidRPr="00206E00" w:rsidR="00D660AE">
        <w:t>. decembra</w:t>
      </w:r>
      <w:r w:rsidRPr="00206E00" w:rsidR="00D8716C">
        <w:t> </w:t>
      </w:r>
      <w:r w:rsidRPr="00206E00">
        <w:t>2020 príliš neskoro), pokiaľ ide</w:t>
      </w:r>
      <w:r w:rsidRPr="00206E00" w:rsidR="00D660AE">
        <w:t xml:space="preserve"> o </w:t>
      </w:r>
      <w:r w:rsidRPr="00206E00">
        <w:t>uhlíkovú stopu spojenú</w:t>
      </w:r>
      <w:r w:rsidRPr="00206E00" w:rsidR="00D660AE">
        <w:t xml:space="preserve"> s </w:t>
      </w:r>
      <w:r w:rsidRPr="00206E00">
        <w:t>výrobou batérií, ako aj</w:t>
      </w:r>
      <w:r w:rsidRPr="00206E00" w:rsidR="00D660AE">
        <w:t xml:space="preserve"> s </w:t>
      </w:r>
      <w:r w:rsidRPr="00206E00">
        <w:t>logistikou dodávok materiálu,</w:t>
      </w:r>
      <w:r w:rsidRPr="00206E00" w:rsidR="00D660AE">
        <w:t xml:space="preserve"> a </w:t>
      </w:r>
      <w:r w:rsidRPr="00206E00">
        <w:t>rovnako posilniť zdroje pridelené Komisiou na rýchly vývoj</w:t>
      </w:r>
      <w:r w:rsidRPr="00206E00" w:rsidR="00D660AE">
        <w:t xml:space="preserve"> a </w:t>
      </w:r>
      <w:r w:rsidRPr="00206E00">
        <w:t>implementáciu nástrojov na hodnotenie</w:t>
      </w:r>
      <w:r w:rsidRPr="00206E00" w:rsidR="00D660AE">
        <w:t xml:space="preserve"> a </w:t>
      </w:r>
      <w:r w:rsidRPr="00206E00">
        <w:t>monitorovanie uhlíkovej stopy</w:t>
      </w:r>
      <w:r w:rsidRPr="00206E00" w:rsidR="00D660AE">
        <w:t xml:space="preserve"> v </w:t>
      </w:r>
      <w:r w:rsidRPr="00206E00">
        <w:t>sektore batérií.</w:t>
      </w:r>
      <w:r w:rsidRPr="00206E00">
        <w:rPr>
          <w:color w:val="000000"/>
        </w:rPr>
        <w:t xml:space="preserve"> </w:t>
      </w:r>
      <w:r w:rsidRPr="00206E00">
        <w:t>Prístup</w:t>
      </w:r>
      <w:r w:rsidRPr="00206E00" w:rsidR="00D660AE">
        <w:t xml:space="preserve"> k </w:t>
      </w:r>
      <w:r w:rsidRPr="00206E00">
        <w:t>strategickým materiálom pre batérie</w:t>
      </w:r>
      <w:r w:rsidRPr="00206E00" w:rsidR="00D660AE">
        <w:t xml:space="preserve"> z </w:t>
      </w:r>
      <w:r w:rsidRPr="00206E00">
        <w:t>baní (mestských alebo prírodných) nachádzajúcich sa na trhu, na ktorom sa batérie vyrábajú</w:t>
      </w:r>
      <w:r w:rsidRPr="00206E00" w:rsidR="00D660AE">
        <w:t xml:space="preserve"> a </w:t>
      </w:r>
      <w:r w:rsidRPr="00206E00">
        <w:t>recyklujú, by mal byť privilegovaný. Tieto opatrenia pomôžu zjednodušiť</w:t>
      </w:r>
      <w:r w:rsidRPr="00206E00" w:rsidR="00D660AE">
        <w:t xml:space="preserve"> a </w:t>
      </w:r>
      <w:r w:rsidRPr="00206E00">
        <w:t>minimalizovať logistické toky. Pokiaľ ide</w:t>
      </w:r>
      <w:r w:rsidRPr="00206E00" w:rsidR="00D660AE">
        <w:t xml:space="preserve"> o </w:t>
      </w:r>
      <w:r w:rsidRPr="00206E00">
        <w:t>výrobu batérií, hlavnú etapu</w:t>
      </w:r>
      <w:r w:rsidRPr="00206E00" w:rsidR="00D660AE">
        <w:t xml:space="preserve"> v </w:t>
      </w:r>
      <w:r w:rsidRPr="00206E00">
        <w:t>súvislosti</w:t>
      </w:r>
      <w:r w:rsidRPr="00206E00" w:rsidR="00D660AE">
        <w:t xml:space="preserve"> s </w:t>
      </w:r>
      <w:r w:rsidRPr="00206E00">
        <w:t>ich uhlíkovou stopou, nariadenie by malo podporovať procesy, ktoré šetria elektrinu</w:t>
      </w:r>
      <w:r w:rsidRPr="00206E00" w:rsidR="00D660AE">
        <w:t xml:space="preserve"> a </w:t>
      </w:r>
      <w:r w:rsidRPr="00206E00">
        <w:t>uprednostňujú použitie bezuhlíkových zdrojov energie.</w:t>
      </w:r>
    </w:p>
    <w:p w:rsidRPr="00206E00" w:rsidR="00086340" w:rsidP="00755325" w:rsidRDefault="00086340"/>
    <w:p w:rsidRPr="00206E00" w:rsidR="00086340" w:rsidRDefault="00D8716C">
      <w:pPr>
        <w:pStyle w:val="Heading2"/>
      </w:pPr>
      <w:r w:rsidRPr="00206E00">
        <w:t>EHSV </w:t>
      </w:r>
      <w:r w:rsidRPr="00206E00" w:rsidR="00086340">
        <w:t>považuje za potrebné stanoviť zodpovednosť výrobcu, ktorá bude</w:t>
      </w:r>
      <w:r w:rsidRPr="00206E00" w:rsidR="00D660AE">
        <w:t xml:space="preserve"> v </w:t>
      </w:r>
      <w:r w:rsidRPr="00206E00" w:rsidR="00086340">
        <w:t>súlade</w:t>
      </w:r>
      <w:r w:rsidRPr="00206E00" w:rsidR="00D660AE">
        <w:t xml:space="preserve"> s </w:t>
      </w:r>
      <w:r w:rsidRPr="00206E00" w:rsidR="00086340">
        <w:t>podporou ekodizajnu,</w:t>
      </w:r>
      <w:r w:rsidRPr="00206E00" w:rsidR="00D660AE">
        <w:t xml:space="preserve"> a </w:t>
      </w:r>
      <w:r w:rsidRPr="00206E00" w:rsidR="00086340">
        <w:t>najmä</w:t>
      </w:r>
      <w:r w:rsidRPr="00206E00" w:rsidR="00D660AE">
        <w:t xml:space="preserve"> s </w:t>
      </w:r>
      <w:r w:rsidRPr="00206E00" w:rsidR="00086340">
        <w:t xml:space="preserve">podporou dizajnu batérií, ktorý uľahčí obnovu, </w:t>
      </w:r>
      <w:r w:rsidRPr="00206E00" w:rsidR="00086340">
        <w:rPr>
          <w:color w:val="000000"/>
          <w:szCs w:val="24"/>
          <w:u w:color="000000"/>
          <w:bdr w:val="nil"/>
        </w:rPr>
        <w:t>repasovanie</w:t>
      </w:r>
      <w:r w:rsidRPr="00206E00" w:rsidR="00D660AE">
        <w:t xml:space="preserve"> a </w:t>
      </w:r>
      <w:r w:rsidRPr="00206E00" w:rsidR="00086340">
        <w:t>opätovné použitie batérií. Táto potreba súvisí</w:t>
      </w:r>
      <w:r w:rsidRPr="00206E00" w:rsidR="00D660AE">
        <w:t xml:space="preserve"> s </w:t>
      </w:r>
      <w:r w:rsidRPr="00206E00" w:rsidR="00086340">
        <w:t>druhotným využitím batérií, ktoré treba podporovať.</w:t>
      </w:r>
      <w:r w:rsidRPr="00206E00" w:rsidR="00D660AE">
        <w:t xml:space="preserve"> V </w:t>
      </w:r>
      <w:r w:rsidRPr="00206E00" w:rsidR="00086340">
        <w:t xml:space="preserve">tomto ohľade sa javí ako nevyhnutné oddeliť skončenie životnosti batérií od skončenia životnosti prístrojov tak, že sa batériám štandardne nepripíše status odpadu, keď je prístroj, do ktorého sú zabudované, na konci svojej životnosti. Pri predpokladanom skončení životnosti </w:t>
      </w:r>
      <w:r w:rsidRPr="00206E00" w:rsidR="00086340">
        <w:lastRenderedPageBreak/>
        <w:t>batérie alebo prístroja, do ktorého sú zabudované, bude výrobca zodpovedný za preukázanie toho, že batéria musí dostať status odpadu. Bude to musieť dokázať prostredníctvom hodnotenia alebo skúšky vykonanej na batérii</w:t>
      </w:r>
      <w:r w:rsidRPr="00206E00" w:rsidR="00D660AE">
        <w:t xml:space="preserve"> a </w:t>
      </w:r>
      <w:r w:rsidRPr="00206E00" w:rsidR="00086340">
        <w:t xml:space="preserve">písomne preukázať technickú nemožnosť opätovného použitia batérie pomocou obnovy alebo </w:t>
      </w:r>
      <w:r w:rsidRPr="00206E00" w:rsidR="00086340">
        <w:rPr>
          <w:color w:val="000000"/>
          <w:szCs w:val="24"/>
          <w:bdr w:val="none" w:color="auto" w:sz="0" w:space="0" w:frame="1"/>
        </w:rPr>
        <w:t>repasovania</w:t>
      </w:r>
      <w:r w:rsidRPr="00206E00" w:rsidR="00086340">
        <w:t xml:space="preserve"> kompatibilného</w:t>
      </w:r>
      <w:r w:rsidRPr="00206E00" w:rsidR="00D660AE">
        <w:t xml:space="preserve"> s </w:t>
      </w:r>
      <w:r w:rsidRPr="00206E00" w:rsidR="00086340">
        <w:t>podmienkami trhov, so zreteľom na súčasné technológie</w:t>
      </w:r>
      <w:r w:rsidRPr="00206E00" w:rsidR="00D660AE">
        <w:t xml:space="preserve"> a </w:t>
      </w:r>
      <w:r w:rsidRPr="00206E00" w:rsidR="00086340">
        <w:t>odvetvia, ktoré by mohli slúžiť ako riešenie. Rovnako by sa popri pojme „skončení životnosti“ mal zaviesť aj pojem „skončenie použiteľnosti“</w:t>
      </w:r>
      <w:r w:rsidRPr="00206E00" w:rsidR="00D660AE">
        <w:t xml:space="preserve"> s </w:t>
      </w:r>
      <w:r w:rsidRPr="00206E00" w:rsidR="00086340">
        <w:t>cieľom podporiť opätovné použitie, obnovu alebo druhotné využitie</w:t>
      </w:r>
      <w:r w:rsidRPr="00206E00" w:rsidR="00D660AE">
        <w:t xml:space="preserve"> a </w:t>
      </w:r>
      <w:r w:rsidRPr="00206E00" w:rsidR="00086340">
        <w:t>recykláciu batérií. Preto je potrebné, aby sa tieto nové subjekty</w:t>
      </w:r>
      <w:r w:rsidRPr="00206E00" w:rsidR="00D660AE">
        <w:t xml:space="preserve"> a </w:t>
      </w:r>
      <w:r w:rsidRPr="00206E00" w:rsidR="00086340">
        <w:t>činnosti</w:t>
      </w:r>
      <w:r w:rsidRPr="00206E00" w:rsidR="00D660AE">
        <w:t xml:space="preserve"> v </w:t>
      </w:r>
      <w:r w:rsidRPr="00206E00" w:rsidR="00086340">
        <w:t>novom nariadení zohľadnili.</w:t>
      </w:r>
    </w:p>
    <w:p w:rsidRPr="00206E00" w:rsidR="00001D6C" w:rsidP="00001D6C" w:rsidRDefault="00001D6C"/>
    <w:p w:rsidRPr="00206E00" w:rsidR="00693643" w:rsidP="00693643" w:rsidRDefault="00D8716C">
      <w:r w:rsidRPr="00206E00">
        <w:t>V </w:t>
      </w:r>
      <w:r w:rsidRPr="00206E00" w:rsidR="00693643">
        <w:t xml:space="preserve">Bruseli </w:t>
      </w:r>
      <w:r w:rsidRPr="00206E00" w:rsidR="00F05ECE">
        <w:t>24</w:t>
      </w:r>
      <w:r w:rsidRPr="00206E00" w:rsidR="00D660AE">
        <w:t>. marca</w:t>
      </w:r>
      <w:r w:rsidRPr="00206E00">
        <w:t> </w:t>
      </w:r>
      <w:r w:rsidRPr="00206E00" w:rsidR="00693643">
        <w:t>2021</w:t>
      </w:r>
    </w:p>
    <w:p w:rsidRPr="00206E00" w:rsidR="00693643" w:rsidP="00693643" w:rsidRDefault="00693643"/>
    <w:p w:rsidRPr="00206E00" w:rsidR="00693643" w:rsidP="00693643" w:rsidRDefault="00693643"/>
    <w:p w:rsidRPr="00206E00" w:rsidR="00693643" w:rsidP="00693643" w:rsidRDefault="00693643"/>
    <w:p w:rsidRPr="00206E00" w:rsidR="00693643" w:rsidP="00693643" w:rsidRDefault="00693643"/>
    <w:p w:rsidRPr="00206E00" w:rsidR="00693643" w:rsidP="00693643" w:rsidRDefault="00F05ECE">
      <w:r w:rsidRPr="00206E00">
        <w:t>Christa SCHWENG</w:t>
      </w:r>
    </w:p>
    <w:p w:rsidRPr="00206E00" w:rsidR="00693643" w:rsidP="00693643" w:rsidRDefault="00F05ECE">
      <w:r w:rsidRPr="00206E00">
        <w:t>predsedn</w:t>
      </w:r>
      <w:r w:rsidRPr="00206E00" w:rsidR="00202402">
        <w:t>íčka Európskeho hospodárskeho a </w:t>
      </w:r>
      <w:r w:rsidRPr="00206E00">
        <w:t>sociálneho výboru</w:t>
      </w:r>
    </w:p>
    <w:p w:rsidRPr="00206E00" w:rsidR="00693643" w:rsidP="00001D6C" w:rsidRDefault="00693643"/>
    <w:bookmarkEnd w:id="0"/>
    <w:p w:rsidRPr="00206E00" w:rsidR="00F274BC" w:rsidP="00755325" w:rsidRDefault="00086340">
      <w:pPr>
        <w:jc w:val="center"/>
      </w:pPr>
      <w:r w:rsidRPr="00206E00">
        <w:t>____</w:t>
      </w:r>
      <w:bookmarkStart w:name="_GoBack" w:id="1"/>
      <w:bookmarkEnd w:id="1"/>
      <w:r w:rsidRPr="00206E00">
        <w:t>_________</w:t>
      </w:r>
    </w:p>
    <w:sectPr w:rsidRPr="00206E00" w:rsidR="00F274BC" w:rsidSect="00206E00">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D23" w:rsidRDefault="00B00D23">
      <w:r>
        <w:separator/>
      </w:r>
    </w:p>
  </w:endnote>
  <w:endnote w:type="continuationSeparator" w:id="0">
    <w:p w:rsidR="00B00D23" w:rsidRDefault="00B00D23">
      <w:r>
        <w:continuationSeparator/>
      </w:r>
    </w:p>
  </w:endnote>
  <w:endnote w:type="continuationNotice" w:id="1">
    <w:p w:rsidR="00B00D23" w:rsidRDefault="00B00D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D23" w:rsidRPr="00206E00" w:rsidRDefault="00206E00" w:rsidP="00206E00">
    <w:pPr>
      <w:pStyle w:val="Footer"/>
    </w:pPr>
    <w:r>
      <w:t xml:space="preserve">CCMI/178 – EESC-2021-00122-00-01-AC-TRA (EN) </w:t>
    </w:r>
    <w:r>
      <w:fldChar w:fldCharType="begin"/>
    </w:r>
    <w:r>
      <w:instrText xml:space="preserve"> PAGE  \* Arabic  \* MERGEFORMAT </w:instrText>
    </w:r>
    <w:r>
      <w:fldChar w:fldCharType="separate"/>
    </w:r>
    <w:r w:rsidR="005335B9">
      <w:rPr>
        <w:noProof/>
      </w:rPr>
      <w:t>1</w:t>
    </w:r>
    <w:r>
      <w:fldChar w:fldCharType="end"/>
    </w:r>
    <w:r>
      <w:t>/</w:t>
    </w:r>
    <w:r>
      <w:fldChar w:fldCharType="begin"/>
    </w:r>
    <w:r>
      <w:instrText xml:space="preserve"> = </w:instrText>
    </w:r>
    <w:fldSimple w:instr=" NUMPAGES ">
      <w:r w:rsidR="005335B9">
        <w:rPr>
          <w:noProof/>
        </w:rPr>
        <w:instrText>10</w:instrText>
      </w:r>
    </w:fldSimple>
    <w:r>
      <w:instrText xml:space="preserve"> -0 </w:instrText>
    </w:r>
    <w:r>
      <w:fldChar w:fldCharType="separate"/>
    </w:r>
    <w:r w:rsidR="005335B9">
      <w:rPr>
        <w:noProof/>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D23" w:rsidRPr="00206E00" w:rsidRDefault="00B00D23" w:rsidP="00206E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D23" w:rsidRPr="00206E00" w:rsidRDefault="00206E00" w:rsidP="00206E00">
    <w:pPr>
      <w:pStyle w:val="Footer"/>
    </w:pPr>
    <w:r>
      <w:t xml:space="preserve">CCMI/178 – EESC-2021-00122-00-01-AC-TRA (EN) </w:t>
    </w:r>
    <w:r>
      <w:fldChar w:fldCharType="begin"/>
    </w:r>
    <w:r>
      <w:instrText xml:space="preserve"> PAGE  \* Arabic  \* MERGEFORMAT </w:instrText>
    </w:r>
    <w:r>
      <w:fldChar w:fldCharType="separate"/>
    </w:r>
    <w:r w:rsidR="005335B9">
      <w:rPr>
        <w:noProof/>
      </w:rPr>
      <w:t>10</w:t>
    </w:r>
    <w:r>
      <w:fldChar w:fldCharType="end"/>
    </w:r>
    <w:r>
      <w:t>/</w:t>
    </w:r>
    <w:r>
      <w:fldChar w:fldCharType="begin"/>
    </w:r>
    <w:r>
      <w:instrText xml:space="preserve"> = </w:instrText>
    </w:r>
    <w:fldSimple w:instr=" NUMPAGES ">
      <w:r w:rsidR="005335B9">
        <w:rPr>
          <w:noProof/>
        </w:rPr>
        <w:instrText>10</w:instrText>
      </w:r>
    </w:fldSimple>
    <w:r>
      <w:instrText xml:space="preserve"> -0 </w:instrText>
    </w:r>
    <w:r>
      <w:fldChar w:fldCharType="separate"/>
    </w:r>
    <w:r w:rsidR="005335B9">
      <w:rPr>
        <w:noProof/>
      </w:rPr>
      <w:t>10</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D23" w:rsidRPr="00206E00" w:rsidRDefault="00B00D23" w:rsidP="00206E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D23" w:rsidRDefault="00B00D23">
      <w:r>
        <w:separator/>
      </w:r>
    </w:p>
  </w:footnote>
  <w:footnote w:type="continuationSeparator" w:id="0">
    <w:p w:rsidR="00B00D23" w:rsidRDefault="00B00D23">
      <w:r>
        <w:continuationSeparator/>
      </w:r>
    </w:p>
  </w:footnote>
  <w:footnote w:type="continuationNotice" w:id="1">
    <w:p w:rsidR="00B00D23" w:rsidRDefault="00B00D23">
      <w:pPr>
        <w:spacing w:line="240" w:lineRule="auto"/>
      </w:pPr>
    </w:p>
  </w:footnote>
  <w:footnote w:id="2">
    <w:p w:rsidR="00B00D23" w:rsidRPr="00206E00" w:rsidRDefault="00B00D23" w:rsidP="00086340">
      <w:pPr>
        <w:pStyle w:val="FootnoteText"/>
      </w:pPr>
      <w:r w:rsidRPr="00206E00">
        <w:rPr>
          <w:rStyle w:val="FootnoteReference"/>
        </w:rPr>
        <w:footnoteRef/>
      </w:r>
      <w:r w:rsidR="00206E00">
        <w:tab/>
      </w:r>
      <w:hyperlink r:id="rId1" w:history="1">
        <w:r w:rsidRPr="00206E00">
          <w:rPr>
            <w:rStyle w:val="Hyperlink"/>
          </w:rPr>
          <w:t>Ú. v. EÚ C 353, 18.10.2019, s. 102</w:t>
        </w:r>
      </w:hyperlink>
      <w:r w:rsidRPr="00206E00">
        <w:t>.</w:t>
      </w:r>
    </w:p>
  </w:footnote>
  <w:footnote w:id="3">
    <w:p w:rsidR="00B00D23" w:rsidRPr="00206E00" w:rsidRDefault="00B00D23" w:rsidP="00086340">
      <w:pPr>
        <w:pStyle w:val="FootnoteText"/>
      </w:pPr>
      <w:r w:rsidRPr="00206E00">
        <w:rPr>
          <w:rStyle w:val="FootnoteReference"/>
        </w:rPr>
        <w:footnoteRef/>
      </w:r>
      <w:r w:rsidRPr="00206E00">
        <w:rPr>
          <w:color w:val="000000"/>
          <w:sz w:val="18"/>
        </w:rPr>
        <w:tab/>
      </w:r>
      <w:hyperlink r:id="rId2" w:history="1">
        <w:r w:rsidRPr="00206E00">
          <w:rPr>
            <w:rStyle w:val="Hyperlink"/>
          </w:rPr>
          <w:t>Ú. v. EÚ C 364, 28.10.2020, s. 108</w:t>
        </w:r>
      </w:hyperlink>
      <w:r w:rsidRPr="00206E00">
        <w:t>.</w:t>
      </w:r>
    </w:p>
  </w:footnote>
  <w:footnote w:id="4">
    <w:p w:rsidR="00B00D23" w:rsidRPr="00206E00" w:rsidRDefault="00B00D23" w:rsidP="00086340">
      <w:pPr>
        <w:pStyle w:val="FootnoteText"/>
      </w:pPr>
      <w:r w:rsidRPr="00206E00">
        <w:rPr>
          <w:rStyle w:val="FootnoteReference"/>
        </w:rPr>
        <w:footnoteRef/>
      </w:r>
      <w:r w:rsidR="00206E00">
        <w:t xml:space="preserve"> </w:t>
      </w:r>
      <w:r w:rsidR="00206E00">
        <w:tab/>
      </w:r>
      <w:hyperlink r:id="rId3" w:history="1">
        <w:r w:rsidRPr="00206E00">
          <w:rPr>
            <w:rStyle w:val="Hyperlink"/>
          </w:rPr>
          <w:t>Ú. v. EÚ C 282, 20.8.2019, s. 51</w:t>
        </w:r>
      </w:hyperlink>
      <w:r w:rsidRPr="00206E00">
        <w:t>.</w:t>
      </w:r>
    </w:p>
  </w:footnote>
  <w:footnote w:id="5">
    <w:p w:rsidR="00B00D23" w:rsidRPr="00206E00" w:rsidRDefault="00B00D23" w:rsidP="00086340">
      <w:pPr>
        <w:pStyle w:val="FootnoteText"/>
      </w:pPr>
      <w:r w:rsidRPr="00206E00">
        <w:rPr>
          <w:rStyle w:val="FootnoteReference"/>
        </w:rPr>
        <w:footnoteRef/>
      </w:r>
      <w:r w:rsidRPr="00206E00">
        <w:rPr>
          <w:color w:val="000000"/>
          <w:sz w:val="18"/>
        </w:rPr>
        <w:tab/>
      </w:r>
      <w:hyperlink r:id="rId4" w:history="1">
        <w:r w:rsidRPr="00206E00">
          <w:rPr>
            <w:rStyle w:val="Hyperlink"/>
          </w:rPr>
          <w:t>Ú. v. EÚ C 62, 15.2.2019, s. 254</w:t>
        </w:r>
      </w:hyperlink>
      <w:r w:rsidRPr="00206E00">
        <w:t>.</w:t>
      </w:r>
    </w:p>
  </w:footnote>
  <w:footnote w:id="6">
    <w:p w:rsidR="00B00D23" w:rsidRPr="00206E00" w:rsidRDefault="00B00D23">
      <w:pPr>
        <w:pStyle w:val="FootnoteText"/>
      </w:pPr>
      <w:r w:rsidRPr="00206E00">
        <w:rPr>
          <w:rStyle w:val="FootnoteReference"/>
        </w:rPr>
        <w:footnoteRef/>
      </w:r>
      <w:r w:rsidRPr="00206E00">
        <w:tab/>
      </w:r>
      <w:hyperlink r:id="rId5" w:history="1">
        <w:r w:rsidRPr="00206E00">
          <w:rPr>
            <w:rStyle w:val="Hyperlink"/>
          </w:rPr>
          <w:t>https://circulareconomy.europa.eu/platform/en/</w:t>
        </w:r>
      </w:hyperlink>
      <w:r w:rsidRPr="00206E00">
        <w:t>.</w:t>
      </w:r>
    </w:p>
  </w:footnote>
  <w:footnote w:id="7">
    <w:p w:rsidR="00B00D23" w:rsidRPr="00206E00" w:rsidRDefault="00B00D23" w:rsidP="00755325">
      <w:pPr>
        <w:ind w:left="567" w:hanging="567"/>
      </w:pPr>
      <w:r w:rsidRPr="00206E00">
        <w:rPr>
          <w:rStyle w:val="FootnoteReference"/>
        </w:rPr>
        <w:footnoteRef/>
      </w:r>
      <w:r w:rsidRPr="00206E00">
        <w:tab/>
      </w:r>
      <w:hyperlink r:id="rId6" w:history="1">
        <w:r w:rsidRPr="00206E00">
          <w:rPr>
            <w:rStyle w:val="Hyperlink"/>
            <w:sz w:val="16"/>
          </w:rPr>
          <w:t>Ú. v. EÚ C 262, 25.7.2018, s. 75</w:t>
        </w:r>
      </w:hyperlink>
      <w:r w:rsidRPr="00206E00">
        <w:t>.</w:t>
      </w:r>
    </w:p>
  </w:footnote>
  <w:footnote w:id="8">
    <w:p w:rsidR="00B00D23" w:rsidRPr="00206E00" w:rsidRDefault="00B00D23" w:rsidP="00086340">
      <w:pPr>
        <w:pStyle w:val="FootnoteText"/>
      </w:pPr>
      <w:r w:rsidRPr="00206E00">
        <w:rPr>
          <w:rStyle w:val="FootnoteReference"/>
        </w:rPr>
        <w:footnoteRef/>
      </w:r>
      <w:r w:rsidRPr="00206E00">
        <w:rPr>
          <w:color w:val="000000"/>
          <w:sz w:val="18"/>
        </w:rPr>
        <w:tab/>
      </w:r>
      <w:hyperlink r:id="rId7" w:history="1">
        <w:r w:rsidRPr="00206E00">
          <w:rPr>
            <w:rStyle w:val="Hyperlink"/>
          </w:rPr>
          <w:t>Ú. v. EÚ C 364, 28.10.2020, s. 94</w:t>
        </w:r>
      </w:hyperlink>
      <w:r w:rsidRPr="00206E00">
        <w:t>.</w:t>
      </w:r>
    </w:p>
  </w:footnote>
  <w:footnote w:id="9">
    <w:p w:rsidR="00B00D23" w:rsidRPr="00206E00" w:rsidRDefault="00B00D23" w:rsidP="00086340">
      <w:pPr>
        <w:pStyle w:val="FootnoteText"/>
      </w:pPr>
      <w:r w:rsidRPr="00206E00">
        <w:rPr>
          <w:rStyle w:val="FootnoteReference"/>
        </w:rPr>
        <w:footnoteRef/>
      </w:r>
      <w:r w:rsidRPr="00206E00">
        <w:rPr>
          <w:color w:val="000000"/>
          <w:sz w:val="18"/>
          <w:szCs w:val="18"/>
        </w:rPr>
        <w:tab/>
      </w:r>
      <w:hyperlink r:id="rId8" w:history="1">
        <w:r w:rsidR="005335B9" w:rsidRPr="005335B9">
          <w:rPr>
            <w:rStyle w:val="Hyperlink"/>
          </w:rPr>
          <w:t>Ú. v. EÚ C 383, 17.11.2015, s. 19</w:t>
        </w:r>
      </w:hyperlink>
      <w:r w:rsidR="005335B9" w:rsidRPr="005335B9">
        <w:rPr>
          <w:rStyle w:val="Hyperlink"/>
          <w:color w:val="auto"/>
          <w:u w:val="none"/>
        </w:rPr>
        <w:t>.</w:t>
      </w:r>
    </w:p>
  </w:footnote>
  <w:footnote w:id="10">
    <w:p w:rsidR="00B00D23" w:rsidRPr="00206E00" w:rsidRDefault="00B00D23" w:rsidP="00086340">
      <w:pPr>
        <w:pStyle w:val="FootnoteText"/>
      </w:pPr>
      <w:r w:rsidRPr="00206E00">
        <w:rPr>
          <w:rStyle w:val="FootnoteReference"/>
        </w:rPr>
        <w:footnoteRef/>
      </w:r>
      <w:r w:rsidRPr="00206E00">
        <w:t xml:space="preserve"> </w:t>
      </w:r>
      <w:r w:rsidRPr="00206E00">
        <w:tab/>
      </w:r>
      <w:r w:rsidR="00AC79C4" w:rsidRPr="00206E00">
        <w:rPr>
          <w:color w:val="000000" w:themeColor="text1"/>
          <w:szCs w:val="16"/>
        </w:rPr>
        <w:t>Drabik E. a Rizos </w:t>
      </w:r>
      <w:r w:rsidRPr="00206E00">
        <w:rPr>
          <w:color w:val="000000" w:themeColor="text1"/>
          <w:szCs w:val="16"/>
        </w:rPr>
        <w:t xml:space="preserve">V.: </w:t>
      </w:r>
      <w:r w:rsidRPr="00206E00">
        <w:rPr>
          <w:i/>
          <w:color w:val="000000" w:themeColor="text1"/>
          <w:szCs w:val="16"/>
        </w:rPr>
        <w:t>Prospects for electric vehicle batteries in a circular economy</w:t>
      </w:r>
      <w:r w:rsidRPr="00206E00">
        <w:rPr>
          <w:color w:val="000000" w:themeColor="text1"/>
          <w:szCs w:val="16"/>
        </w:rPr>
        <w:t xml:space="preserve"> (Perspektívy batérií elektrických vozidiel </w:t>
      </w:r>
      <w:r w:rsidR="00AC79C4" w:rsidRPr="00206E00">
        <w:rPr>
          <w:color w:val="000000" w:themeColor="text1"/>
          <w:szCs w:val="16"/>
        </w:rPr>
        <w:t>v obehovom hospodárstve), CEPS, </w:t>
      </w:r>
      <w:r w:rsidRPr="00206E00">
        <w:rPr>
          <w:color w:val="000000" w:themeColor="text1"/>
          <w:szCs w:val="16"/>
        </w:rPr>
        <w:t>2018.</w:t>
      </w:r>
    </w:p>
  </w:footnote>
  <w:footnote w:id="11">
    <w:p w:rsidR="00B00D23" w:rsidRPr="00206E00" w:rsidRDefault="00B00D23" w:rsidP="00086340">
      <w:pPr>
        <w:pStyle w:val="FootnoteText"/>
      </w:pPr>
      <w:r w:rsidRPr="00206E00">
        <w:rPr>
          <w:rStyle w:val="FootnoteReference"/>
        </w:rPr>
        <w:footnoteRef/>
      </w:r>
      <w:r w:rsidRPr="00206E00">
        <w:rPr>
          <w:color w:val="000000" w:themeColor="text1"/>
          <w:sz w:val="18"/>
          <w:szCs w:val="18"/>
        </w:rPr>
        <w:tab/>
      </w:r>
      <w:r w:rsidRPr="00206E00">
        <w:rPr>
          <w:color w:val="000000" w:themeColor="text1"/>
          <w:szCs w:val="16"/>
        </w:rPr>
        <w:t xml:space="preserve">RREUSE: </w:t>
      </w:r>
      <w:r w:rsidRPr="00206E00">
        <w:rPr>
          <w:i/>
          <w:color w:val="000000" w:themeColor="text1"/>
          <w:szCs w:val="16"/>
        </w:rPr>
        <w:t>Briefing on job creation potential in the re-use sector</w:t>
      </w:r>
      <w:r w:rsidRPr="00206E00">
        <w:rPr>
          <w:color w:val="000000" w:themeColor="text1"/>
          <w:szCs w:val="16"/>
        </w:rPr>
        <w:t xml:space="preserve"> (Stručné informácie o potenciáli vytvárania pracovných miest v s</w:t>
      </w:r>
      <w:r w:rsidR="00D8716C" w:rsidRPr="00206E00">
        <w:rPr>
          <w:color w:val="000000" w:themeColor="text1"/>
          <w:szCs w:val="16"/>
        </w:rPr>
        <w:t>ektore opakovaného používania), </w:t>
      </w:r>
      <w:r w:rsidRPr="00206E00">
        <w:rPr>
          <w:color w:val="000000" w:themeColor="text1"/>
          <w:szCs w:val="16"/>
        </w:rPr>
        <w:t>2015.</w:t>
      </w:r>
    </w:p>
  </w:footnote>
  <w:footnote w:id="12">
    <w:p w:rsidR="00B00D23" w:rsidRPr="00206E00" w:rsidRDefault="00B00D23">
      <w:pPr>
        <w:pStyle w:val="FootnoteText"/>
      </w:pPr>
      <w:r w:rsidRPr="00206E00">
        <w:rPr>
          <w:rStyle w:val="FootnoteReference"/>
        </w:rPr>
        <w:footnoteRef/>
      </w:r>
      <w:r w:rsidRPr="00206E00">
        <w:t xml:space="preserve"> </w:t>
      </w:r>
      <w:r w:rsidRPr="00206E00">
        <w:tab/>
        <w:t>Nariadenie Európskeho parlamentu a</w:t>
      </w:r>
      <w:r w:rsidR="00D8716C" w:rsidRPr="00206E00">
        <w:t> Rady (EÚ) 2020/852 zo 18. júna </w:t>
      </w:r>
      <w:r w:rsidRPr="00206E00">
        <w:t>2020.</w:t>
      </w:r>
    </w:p>
  </w:footnote>
  <w:footnote w:id="13">
    <w:p w:rsidR="00B00D23" w:rsidRPr="00206E00" w:rsidRDefault="00B00D23" w:rsidP="00BA5664">
      <w:pPr>
        <w:pStyle w:val="FootnoteText"/>
      </w:pPr>
      <w:r w:rsidRPr="00206E00">
        <w:rPr>
          <w:rStyle w:val="FootnoteReference"/>
        </w:rPr>
        <w:footnoteRef/>
      </w:r>
      <w:r w:rsidRPr="00206E00">
        <w:rPr>
          <w:color w:val="000000" w:themeColor="text1"/>
          <w:sz w:val="18"/>
          <w:szCs w:val="18"/>
        </w:rPr>
        <w:tab/>
      </w:r>
      <w:r w:rsidRPr="00206E00">
        <w:t xml:space="preserve">OECD (2018), </w:t>
      </w:r>
      <w:r w:rsidRPr="00206E00">
        <w:rPr>
          <w:i/>
          <w:iCs/>
          <w:szCs w:val="16"/>
        </w:rPr>
        <w:t>Due Diligence Guidance for Responsible Business Conduct (Usmernenie OECD o náležitej starostlivosti pre zodpovedné obchodné správanie)</w:t>
      </w:r>
      <w:r w:rsidRPr="00206E0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D23" w:rsidRPr="00206E00" w:rsidRDefault="00B00D23" w:rsidP="00206E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D23" w:rsidRPr="00206E00" w:rsidRDefault="00B00D23" w:rsidP="00206E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D23" w:rsidRPr="00206E00" w:rsidRDefault="00B00D23" w:rsidP="00206E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E6E57A5"/>
    <w:multiLevelType w:val="hybridMultilevel"/>
    <w:tmpl w:val="5EC2B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12494D"/>
    <w:multiLevelType w:val="hybridMultilevel"/>
    <w:tmpl w:val="C1FC7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4AE1336"/>
    <w:multiLevelType w:val="hybridMultilevel"/>
    <w:tmpl w:val="9C0AA44C"/>
    <w:lvl w:ilvl="0" w:tplc="4F1C62A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83520D8"/>
    <w:multiLevelType w:val="multilevel"/>
    <w:tmpl w:val="B32654D8"/>
    <w:lvl w:ilvl="0">
      <w:start w:val="1"/>
      <w:numFmt w:val="decimal"/>
      <w:lvlText w:val="%1."/>
      <w:legacy w:legacy="1" w:legacySpace="36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360" w:legacyIndent="0"/>
      <w:lvlJc w:val="left"/>
      <w:rPr>
        <w:rFonts w:hint="default"/>
        <w:b w:val="0"/>
      </w:rPr>
    </w:lvl>
    <w:lvl w:ilvl="2">
      <w:start w:val="1"/>
      <w:numFmt w:val="decimal"/>
      <w:lvlText w:val="%1.%2.%3"/>
      <w:legacy w:legacy="1" w:legacySpace="360" w:legacyIndent="0"/>
      <w:lvlJc w:val="left"/>
      <w:rPr>
        <w:rFonts w:hint="default"/>
      </w:rPr>
    </w:lvl>
    <w:lvl w:ilvl="3">
      <w:start w:val="1"/>
      <w:numFmt w:val="decimal"/>
      <w:lvlText w:val="%1.%2.%3.%4"/>
      <w:legacy w:legacy="1" w:legacySpace="360" w:legacyIndent="0"/>
      <w:lvlJc w:val="left"/>
      <w:rPr>
        <w:rFonts w:hint="default"/>
      </w:rPr>
    </w:lvl>
    <w:lvl w:ilvl="4">
      <w:start w:val="1"/>
      <w:numFmt w:val="decimal"/>
      <w:lvlText w:val="%1.%2.%3.%4.%5"/>
      <w:legacy w:legacy="1" w:legacySpace="360" w:legacyIndent="0"/>
      <w:lvlJc w:val="left"/>
      <w:rPr>
        <w:rFonts w:hint="default"/>
      </w:rPr>
    </w:lvl>
    <w:lvl w:ilvl="5">
      <w:start w:val="1"/>
      <w:numFmt w:val="decimal"/>
      <w:lvlText w:val="%1.%2.%3.%4.%5.%6"/>
      <w:legacy w:legacy="1" w:legacySpace="360" w:legacyIndent="0"/>
      <w:lvlJc w:val="left"/>
      <w:rPr>
        <w:rFonts w:hint="default"/>
      </w:rPr>
    </w:lvl>
    <w:lvl w:ilvl="6">
      <w:start w:val="1"/>
      <w:numFmt w:val="decimal"/>
      <w:lvlText w:val="%1.%2.%3.%4.%5.%6.%7"/>
      <w:legacy w:legacy="1" w:legacySpace="360" w:legacyIndent="0"/>
      <w:lvlJc w:val="left"/>
      <w:rPr>
        <w:rFonts w:hint="default"/>
      </w:rPr>
    </w:lvl>
    <w:lvl w:ilvl="7">
      <w:start w:val="1"/>
      <w:numFmt w:val="decimal"/>
      <w:lvlText w:val="%1.%2.%3.%4.%5.%6.%7.%8"/>
      <w:legacy w:legacy="1" w:legacySpace="360" w:legacyIndent="0"/>
      <w:lvlJc w:val="left"/>
      <w:rPr>
        <w:rFonts w:hint="default"/>
      </w:rPr>
    </w:lvl>
    <w:lvl w:ilvl="8">
      <w:start w:val="1"/>
      <w:numFmt w:val="decimal"/>
      <w:lvlText w:val="%1.%2.%3.%4.%5.%6.%7.%8.%9"/>
      <w:legacy w:legacy="1" w:legacySpace="360" w:legacyIndent="0"/>
      <w:lvlJc w:val="left"/>
      <w:rPr>
        <w:rFonts w:hint="default"/>
      </w:rPr>
    </w:lvl>
  </w:abstractNum>
  <w:abstractNum w:abstractNumId="5" w15:restartNumberingAfterBreak="0">
    <w:nsid w:val="62DF4F4A"/>
    <w:multiLevelType w:val="multilevel"/>
    <w:tmpl w:val="13AAD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1"/>
  </w:num>
  <w:num w:numId="5">
    <w:abstractNumId w:val="2"/>
  </w:num>
  <w:num w:numId="6">
    <w:abstractNumId w:val="4"/>
  </w:num>
  <w:num w:numId="7">
    <w:abstractNumId w:val="4"/>
  </w:num>
  <w:num w:numId="8">
    <w:abstractNumId w:val="4"/>
  </w:num>
  <w:num w:numId="9">
    <w:abstractNumId w:val="4"/>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1D6C"/>
    <w:rsid w:val="00002165"/>
    <w:rsid w:val="0000294E"/>
    <w:rsid w:val="00005AB9"/>
    <w:rsid w:val="00005EB9"/>
    <w:rsid w:val="00006E24"/>
    <w:rsid w:val="00007A40"/>
    <w:rsid w:val="00011304"/>
    <w:rsid w:val="00011D33"/>
    <w:rsid w:val="000139F3"/>
    <w:rsid w:val="00020E6E"/>
    <w:rsid w:val="00022A00"/>
    <w:rsid w:val="00023DD2"/>
    <w:rsid w:val="00026170"/>
    <w:rsid w:val="0003104A"/>
    <w:rsid w:val="000313B4"/>
    <w:rsid w:val="00031A4B"/>
    <w:rsid w:val="00032ED6"/>
    <w:rsid w:val="00033913"/>
    <w:rsid w:val="00033E5B"/>
    <w:rsid w:val="000347B7"/>
    <w:rsid w:val="000357A8"/>
    <w:rsid w:val="00037813"/>
    <w:rsid w:val="00042F76"/>
    <w:rsid w:val="000430A6"/>
    <w:rsid w:val="00044154"/>
    <w:rsid w:val="00044923"/>
    <w:rsid w:val="00045880"/>
    <w:rsid w:val="0004671C"/>
    <w:rsid w:val="0005249C"/>
    <w:rsid w:val="0005249E"/>
    <w:rsid w:val="000534A5"/>
    <w:rsid w:val="0005680D"/>
    <w:rsid w:val="00063FB4"/>
    <w:rsid w:val="0006793E"/>
    <w:rsid w:val="0007152F"/>
    <w:rsid w:val="00072E0F"/>
    <w:rsid w:val="000735E5"/>
    <w:rsid w:val="00073637"/>
    <w:rsid w:val="0007392F"/>
    <w:rsid w:val="00074125"/>
    <w:rsid w:val="0007579D"/>
    <w:rsid w:val="0008481F"/>
    <w:rsid w:val="0008516E"/>
    <w:rsid w:val="00086340"/>
    <w:rsid w:val="00087B39"/>
    <w:rsid w:val="00092D91"/>
    <w:rsid w:val="00094C7B"/>
    <w:rsid w:val="00095831"/>
    <w:rsid w:val="00096502"/>
    <w:rsid w:val="00096D90"/>
    <w:rsid w:val="000A01EC"/>
    <w:rsid w:val="000A2FAB"/>
    <w:rsid w:val="000A49BB"/>
    <w:rsid w:val="000A4AF1"/>
    <w:rsid w:val="000A67A3"/>
    <w:rsid w:val="000B7DE0"/>
    <w:rsid w:val="000C1020"/>
    <w:rsid w:val="000C14E7"/>
    <w:rsid w:val="000C3441"/>
    <w:rsid w:val="000C45B8"/>
    <w:rsid w:val="000C4F12"/>
    <w:rsid w:val="000C7F53"/>
    <w:rsid w:val="000D2AF3"/>
    <w:rsid w:val="000D2F8E"/>
    <w:rsid w:val="000D310C"/>
    <w:rsid w:val="000D3568"/>
    <w:rsid w:val="000D3A85"/>
    <w:rsid w:val="000D5E1A"/>
    <w:rsid w:val="000D65EE"/>
    <w:rsid w:val="000E07BD"/>
    <w:rsid w:val="000E169F"/>
    <w:rsid w:val="000E2902"/>
    <w:rsid w:val="000E6701"/>
    <w:rsid w:val="000F196B"/>
    <w:rsid w:val="000F5705"/>
    <w:rsid w:val="000F7017"/>
    <w:rsid w:val="000F7CCC"/>
    <w:rsid w:val="000F7FB9"/>
    <w:rsid w:val="00100236"/>
    <w:rsid w:val="001005F6"/>
    <w:rsid w:val="00103B23"/>
    <w:rsid w:val="00103F0A"/>
    <w:rsid w:val="00105361"/>
    <w:rsid w:val="001101F8"/>
    <w:rsid w:val="00110DF0"/>
    <w:rsid w:val="0011206F"/>
    <w:rsid w:val="00113A9C"/>
    <w:rsid w:val="0011656A"/>
    <w:rsid w:val="00117152"/>
    <w:rsid w:val="0012220C"/>
    <w:rsid w:val="00122727"/>
    <w:rsid w:val="001240D1"/>
    <w:rsid w:val="00127A23"/>
    <w:rsid w:val="00136EA3"/>
    <w:rsid w:val="00137575"/>
    <w:rsid w:val="00144231"/>
    <w:rsid w:val="00150434"/>
    <w:rsid w:val="00150567"/>
    <w:rsid w:val="00150DEF"/>
    <w:rsid w:val="00155721"/>
    <w:rsid w:val="0015678B"/>
    <w:rsid w:val="00162307"/>
    <w:rsid w:val="0016503F"/>
    <w:rsid w:val="0016674F"/>
    <w:rsid w:val="00167CA0"/>
    <w:rsid w:val="0017120D"/>
    <w:rsid w:val="001714F6"/>
    <w:rsid w:val="001717C3"/>
    <w:rsid w:val="00173220"/>
    <w:rsid w:val="0017378E"/>
    <w:rsid w:val="001744BF"/>
    <w:rsid w:val="00176168"/>
    <w:rsid w:val="00177158"/>
    <w:rsid w:val="001808A5"/>
    <w:rsid w:val="001811C2"/>
    <w:rsid w:val="00182653"/>
    <w:rsid w:val="00183539"/>
    <w:rsid w:val="00184FD4"/>
    <w:rsid w:val="00186B04"/>
    <w:rsid w:val="00186F1E"/>
    <w:rsid w:val="00190836"/>
    <w:rsid w:val="00190FE0"/>
    <w:rsid w:val="00193930"/>
    <w:rsid w:val="001963A5"/>
    <w:rsid w:val="001967F2"/>
    <w:rsid w:val="00196888"/>
    <w:rsid w:val="001969A5"/>
    <w:rsid w:val="00196F1E"/>
    <w:rsid w:val="00197A8C"/>
    <w:rsid w:val="00197FCA"/>
    <w:rsid w:val="001A0250"/>
    <w:rsid w:val="001A1035"/>
    <w:rsid w:val="001A2344"/>
    <w:rsid w:val="001A27DB"/>
    <w:rsid w:val="001A6852"/>
    <w:rsid w:val="001B1005"/>
    <w:rsid w:val="001B286A"/>
    <w:rsid w:val="001B2D02"/>
    <w:rsid w:val="001B3647"/>
    <w:rsid w:val="001B569B"/>
    <w:rsid w:val="001B77FA"/>
    <w:rsid w:val="001C0ABE"/>
    <w:rsid w:val="001C148D"/>
    <w:rsid w:val="001C1E03"/>
    <w:rsid w:val="001C28AF"/>
    <w:rsid w:val="001C41AF"/>
    <w:rsid w:val="001C5852"/>
    <w:rsid w:val="001D45F0"/>
    <w:rsid w:val="001D6C80"/>
    <w:rsid w:val="001D6FD7"/>
    <w:rsid w:val="001E0C9C"/>
    <w:rsid w:val="001E2027"/>
    <w:rsid w:val="001E4941"/>
    <w:rsid w:val="001E4A33"/>
    <w:rsid w:val="001E5062"/>
    <w:rsid w:val="001E5C27"/>
    <w:rsid w:val="001E6C6E"/>
    <w:rsid w:val="001F0153"/>
    <w:rsid w:val="001F3AAE"/>
    <w:rsid w:val="001F602B"/>
    <w:rsid w:val="001F6AC8"/>
    <w:rsid w:val="001F701D"/>
    <w:rsid w:val="00200FF3"/>
    <w:rsid w:val="00201454"/>
    <w:rsid w:val="0020237B"/>
    <w:rsid w:val="00202402"/>
    <w:rsid w:val="00202775"/>
    <w:rsid w:val="002037D5"/>
    <w:rsid w:val="00204B18"/>
    <w:rsid w:val="00206E00"/>
    <w:rsid w:val="00206F5F"/>
    <w:rsid w:val="00206F90"/>
    <w:rsid w:val="00211EAD"/>
    <w:rsid w:val="00212981"/>
    <w:rsid w:val="00212B03"/>
    <w:rsid w:val="002131AE"/>
    <w:rsid w:val="00215C10"/>
    <w:rsid w:val="00215C2D"/>
    <w:rsid w:val="002208D6"/>
    <w:rsid w:val="00222541"/>
    <w:rsid w:val="00223779"/>
    <w:rsid w:val="002252C4"/>
    <w:rsid w:val="00231234"/>
    <w:rsid w:val="0023183E"/>
    <w:rsid w:val="00232637"/>
    <w:rsid w:val="00233262"/>
    <w:rsid w:val="00235138"/>
    <w:rsid w:val="00237891"/>
    <w:rsid w:val="00243E36"/>
    <w:rsid w:val="0024540B"/>
    <w:rsid w:val="00245EF4"/>
    <w:rsid w:val="00250E11"/>
    <w:rsid w:val="00251383"/>
    <w:rsid w:val="002522C9"/>
    <w:rsid w:val="00252A21"/>
    <w:rsid w:val="00253E4F"/>
    <w:rsid w:val="002542E4"/>
    <w:rsid w:val="00255604"/>
    <w:rsid w:val="00255F59"/>
    <w:rsid w:val="002564AB"/>
    <w:rsid w:val="002570C9"/>
    <w:rsid w:val="00261053"/>
    <w:rsid w:val="00261D3E"/>
    <w:rsid w:val="00262FDE"/>
    <w:rsid w:val="00263629"/>
    <w:rsid w:val="002677C7"/>
    <w:rsid w:val="0026791A"/>
    <w:rsid w:val="002701C7"/>
    <w:rsid w:val="0027139A"/>
    <w:rsid w:val="002769BD"/>
    <w:rsid w:val="00276A75"/>
    <w:rsid w:val="002801A0"/>
    <w:rsid w:val="002809EA"/>
    <w:rsid w:val="002810E6"/>
    <w:rsid w:val="00282142"/>
    <w:rsid w:val="00284962"/>
    <w:rsid w:val="00287627"/>
    <w:rsid w:val="00287B0E"/>
    <w:rsid w:val="002A0B53"/>
    <w:rsid w:val="002A0EEF"/>
    <w:rsid w:val="002A1C0D"/>
    <w:rsid w:val="002A2254"/>
    <w:rsid w:val="002A6382"/>
    <w:rsid w:val="002A76F9"/>
    <w:rsid w:val="002B2DF7"/>
    <w:rsid w:val="002B4A9E"/>
    <w:rsid w:val="002B7B04"/>
    <w:rsid w:val="002C1DB1"/>
    <w:rsid w:val="002C3102"/>
    <w:rsid w:val="002C3BF4"/>
    <w:rsid w:val="002C733E"/>
    <w:rsid w:val="002C749F"/>
    <w:rsid w:val="002D0BAE"/>
    <w:rsid w:val="002D758A"/>
    <w:rsid w:val="002E0714"/>
    <w:rsid w:val="002E0F54"/>
    <w:rsid w:val="002E1F8B"/>
    <w:rsid w:val="002E7B33"/>
    <w:rsid w:val="002F059B"/>
    <w:rsid w:val="002F1397"/>
    <w:rsid w:val="002F1910"/>
    <w:rsid w:val="002F23E3"/>
    <w:rsid w:val="002F2423"/>
    <w:rsid w:val="002F3D01"/>
    <w:rsid w:val="002F5B0B"/>
    <w:rsid w:val="002F7C90"/>
    <w:rsid w:val="00300924"/>
    <w:rsid w:val="0030174C"/>
    <w:rsid w:val="00302CE1"/>
    <w:rsid w:val="0030596E"/>
    <w:rsid w:val="003073C3"/>
    <w:rsid w:val="00312D4C"/>
    <w:rsid w:val="0031389C"/>
    <w:rsid w:val="00313CAD"/>
    <w:rsid w:val="00316F7E"/>
    <w:rsid w:val="00323637"/>
    <w:rsid w:val="00324E8A"/>
    <w:rsid w:val="00325E0C"/>
    <w:rsid w:val="00326652"/>
    <w:rsid w:val="00331D87"/>
    <w:rsid w:val="00332850"/>
    <w:rsid w:val="00333659"/>
    <w:rsid w:val="00334478"/>
    <w:rsid w:val="003346B4"/>
    <w:rsid w:val="00334AE6"/>
    <w:rsid w:val="003365D0"/>
    <w:rsid w:val="00336899"/>
    <w:rsid w:val="0034055E"/>
    <w:rsid w:val="003439AB"/>
    <w:rsid w:val="00343F87"/>
    <w:rsid w:val="00345337"/>
    <w:rsid w:val="0035034C"/>
    <w:rsid w:val="00354695"/>
    <w:rsid w:val="0035549B"/>
    <w:rsid w:val="00360982"/>
    <w:rsid w:val="00361EC1"/>
    <w:rsid w:val="00365C9D"/>
    <w:rsid w:val="00366836"/>
    <w:rsid w:val="00372221"/>
    <w:rsid w:val="0037553B"/>
    <w:rsid w:val="003755C8"/>
    <w:rsid w:val="00375687"/>
    <w:rsid w:val="003773F7"/>
    <w:rsid w:val="00380AE0"/>
    <w:rsid w:val="00383324"/>
    <w:rsid w:val="0038399B"/>
    <w:rsid w:val="00387A75"/>
    <w:rsid w:val="003904FD"/>
    <w:rsid w:val="0039177F"/>
    <w:rsid w:val="0039210E"/>
    <w:rsid w:val="00394254"/>
    <w:rsid w:val="00394AE8"/>
    <w:rsid w:val="0039681C"/>
    <w:rsid w:val="003973F3"/>
    <w:rsid w:val="003A011D"/>
    <w:rsid w:val="003A1A48"/>
    <w:rsid w:val="003A3F3F"/>
    <w:rsid w:val="003A5D3F"/>
    <w:rsid w:val="003A784E"/>
    <w:rsid w:val="003B27BF"/>
    <w:rsid w:val="003B50D1"/>
    <w:rsid w:val="003C0CC5"/>
    <w:rsid w:val="003C0FDC"/>
    <w:rsid w:val="003C1495"/>
    <w:rsid w:val="003C2BFB"/>
    <w:rsid w:val="003C436B"/>
    <w:rsid w:val="003C464F"/>
    <w:rsid w:val="003C5337"/>
    <w:rsid w:val="003C5F92"/>
    <w:rsid w:val="003C6D7F"/>
    <w:rsid w:val="003D41FC"/>
    <w:rsid w:val="003D701F"/>
    <w:rsid w:val="003D7A8C"/>
    <w:rsid w:val="003D7C00"/>
    <w:rsid w:val="003E0E66"/>
    <w:rsid w:val="003E12D6"/>
    <w:rsid w:val="003E24E2"/>
    <w:rsid w:val="003E39DF"/>
    <w:rsid w:val="003E56E5"/>
    <w:rsid w:val="003E7E60"/>
    <w:rsid w:val="003F00D4"/>
    <w:rsid w:val="003F2209"/>
    <w:rsid w:val="003F3D39"/>
    <w:rsid w:val="003F4C47"/>
    <w:rsid w:val="003F5E14"/>
    <w:rsid w:val="003F646A"/>
    <w:rsid w:val="003F6761"/>
    <w:rsid w:val="003F6A0A"/>
    <w:rsid w:val="00401CDA"/>
    <w:rsid w:val="004024F5"/>
    <w:rsid w:val="00402DE1"/>
    <w:rsid w:val="00403D8B"/>
    <w:rsid w:val="00403E85"/>
    <w:rsid w:val="004058F1"/>
    <w:rsid w:val="00407E7D"/>
    <w:rsid w:val="00410A88"/>
    <w:rsid w:val="00411561"/>
    <w:rsid w:val="0041283D"/>
    <w:rsid w:val="004136C3"/>
    <w:rsid w:val="004139EC"/>
    <w:rsid w:val="00413AB4"/>
    <w:rsid w:val="0041537C"/>
    <w:rsid w:val="00416344"/>
    <w:rsid w:val="0041757E"/>
    <w:rsid w:val="00421373"/>
    <w:rsid w:val="004218C1"/>
    <w:rsid w:val="00421FB7"/>
    <w:rsid w:val="004246AB"/>
    <w:rsid w:val="0042763B"/>
    <w:rsid w:val="0043024C"/>
    <w:rsid w:val="0043039D"/>
    <w:rsid w:val="00436706"/>
    <w:rsid w:val="00440238"/>
    <w:rsid w:val="00443D38"/>
    <w:rsid w:val="004444EF"/>
    <w:rsid w:val="00444AF2"/>
    <w:rsid w:val="00444F01"/>
    <w:rsid w:val="00450754"/>
    <w:rsid w:val="00450E7A"/>
    <w:rsid w:val="004529F6"/>
    <w:rsid w:val="00452E0D"/>
    <w:rsid w:val="00456AF8"/>
    <w:rsid w:val="00465B32"/>
    <w:rsid w:val="00470B15"/>
    <w:rsid w:val="00471085"/>
    <w:rsid w:val="00475869"/>
    <w:rsid w:val="00475A77"/>
    <w:rsid w:val="00477027"/>
    <w:rsid w:val="0048046C"/>
    <w:rsid w:val="004841AC"/>
    <w:rsid w:val="00484914"/>
    <w:rsid w:val="004866A9"/>
    <w:rsid w:val="00492774"/>
    <w:rsid w:val="00496D7A"/>
    <w:rsid w:val="004A07B6"/>
    <w:rsid w:val="004A27D2"/>
    <w:rsid w:val="004A31BC"/>
    <w:rsid w:val="004A3F1A"/>
    <w:rsid w:val="004A3F45"/>
    <w:rsid w:val="004A5054"/>
    <w:rsid w:val="004A5738"/>
    <w:rsid w:val="004A5A78"/>
    <w:rsid w:val="004A5C60"/>
    <w:rsid w:val="004B1971"/>
    <w:rsid w:val="004B1AFA"/>
    <w:rsid w:val="004B56A5"/>
    <w:rsid w:val="004B6795"/>
    <w:rsid w:val="004B7088"/>
    <w:rsid w:val="004C17D3"/>
    <w:rsid w:val="004C1A25"/>
    <w:rsid w:val="004C2104"/>
    <w:rsid w:val="004C2375"/>
    <w:rsid w:val="004C4D12"/>
    <w:rsid w:val="004C5B76"/>
    <w:rsid w:val="004C5C59"/>
    <w:rsid w:val="004D02CD"/>
    <w:rsid w:val="004D038E"/>
    <w:rsid w:val="004D039D"/>
    <w:rsid w:val="004D0B24"/>
    <w:rsid w:val="004D144D"/>
    <w:rsid w:val="004D4B90"/>
    <w:rsid w:val="004D6B95"/>
    <w:rsid w:val="004D7F41"/>
    <w:rsid w:val="004E03A2"/>
    <w:rsid w:val="004E1C4E"/>
    <w:rsid w:val="004E317E"/>
    <w:rsid w:val="004E3954"/>
    <w:rsid w:val="004E5856"/>
    <w:rsid w:val="004E7005"/>
    <w:rsid w:val="004E7FE3"/>
    <w:rsid w:val="004F0918"/>
    <w:rsid w:val="004F2330"/>
    <w:rsid w:val="004F4808"/>
    <w:rsid w:val="004F5315"/>
    <w:rsid w:val="004F53C6"/>
    <w:rsid w:val="004F55C6"/>
    <w:rsid w:val="004F5BB9"/>
    <w:rsid w:val="004F5D27"/>
    <w:rsid w:val="004F5E5B"/>
    <w:rsid w:val="004F6477"/>
    <w:rsid w:val="004F658D"/>
    <w:rsid w:val="004F67B4"/>
    <w:rsid w:val="004F69DB"/>
    <w:rsid w:val="004F6B87"/>
    <w:rsid w:val="00501190"/>
    <w:rsid w:val="00501C2D"/>
    <w:rsid w:val="00502637"/>
    <w:rsid w:val="00510FA8"/>
    <w:rsid w:val="00511140"/>
    <w:rsid w:val="0051339C"/>
    <w:rsid w:val="00513CFE"/>
    <w:rsid w:val="0051485E"/>
    <w:rsid w:val="00516460"/>
    <w:rsid w:val="00523B6A"/>
    <w:rsid w:val="00525F6C"/>
    <w:rsid w:val="0052758B"/>
    <w:rsid w:val="00532C57"/>
    <w:rsid w:val="005335B9"/>
    <w:rsid w:val="00540B3C"/>
    <w:rsid w:val="00541BDE"/>
    <w:rsid w:val="005432B1"/>
    <w:rsid w:val="0054417B"/>
    <w:rsid w:val="00544968"/>
    <w:rsid w:val="00546AB4"/>
    <w:rsid w:val="005514E5"/>
    <w:rsid w:val="005520B6"/>
    <w:rsid w:val="00557BB1"/>
    <w:rsid w:val="00560203"/>
    <w:rsid w:val="00561602"/>
    <w:rsid w:val="00563C84"/>
    <w:rsid w:val="00567BC7"/>
    <w:rsid w:val="00567F86"/>
    <w:rsid w:val="00573056"/>
    <w:rsid w:val="00574D4C"/>
    <w:rsid w:val="005756EC"/>
    <w:rsid w:val="005762F6"/>
    <w:rsid w:val="00584499"/>
    <w:rsid w:val="00584919"/>
    <w:rsid w:val="00584D9B"/>
    <w:rsid w:val="00584FBE"/>
    <w:rsid w:val="00585483"/>
    <w:rsid w:val="00585971"/>
    <w:rsid w:val="005860E4"/>
    <w:rsid w:val="00587378"/>
    <w:rsid w:val="00587C05"/>
    <w:rsid w:val="00590AAB"/>
    <w:rsid w:val="005938C3"/>
    <w:rsid w:val="0059468C"/>
    <w:rsid w:val="00595125"/>
    <w:rsid w:val="00596F21"/>
    <w:rsid w:val="005A1E5B"/>
    <w:rsid w:val="005A2FD2"/>
    <w:rsid w:val="005A6BF8"/>
    <w:rsid w:val="005A7398"/>
    <w:rsid w:val="005B0000"/>
    <w:rsid w:val="005B0978"/>
    <w:rsid w:val="005B1CDD"/>
    <w:rsid w:val="005B1E19"/>
    <w:rsid w:val="005B2A57"/>
    <w:rsid w:val="005B55FC"/>
    <w:rsid w:val="005C2D5E"/>
    <w:rsid w:val="005C3B81"/>
    <w:rsid w:val="005C650C"/>
    <w:rsid w:val="005D086C"/>
    <w:rsid w:val="005D11D3"/>
    <w:rsid w:val="005D2929"/>
    <w:rsid w:val="005D43D2"/>
    <w:rsid w:val="005D4E1F"/>
    <w:rsid w:val="005D4FB3"/>
    <w:rsid w:val="005D789D"/>
    <w:rsid w:val="005E2F07"/>
    <w:rsid w:val="005E2FEA"/>
    <w:rsid w:val="005E43BB"/>
    <w:rsid w:val="005F0866"/>
    <w:rsid w:val="005F314B"/>
    <w:rsid w:val="00600356"/>
    <w:rsid w:val="00604817"/>
    <w:rsid w:val="00605DA6"/>
    <w:rsid w:val="00611AF2"/>
    <w:rsid w:val="0061212B"/>
    <w:rsid w:val="006127AF"/>
    <w:rsid w:val="00612F91"/>
    <w:rsid w:val="00613A98"/>
    <w:rsid w:val="00615FB2"/>
    <w:rsid w:val="0061767A"/>
    <w:rsid w:val="00617BD1"/>
    <w:rsid w:val="00617CE8"/>
    <w:rsid w:val="0062320A"/>
    <w:rsid w:val="006272F7"/>
    <w:rsid w:val="006278A0"/>
    <w:rsid w:val="00627DD6"/>
    <w:rsid w:val="006308ED"/>
    <w:rsid w:val="0063095F"/>
    <w:rsid w:val="00631CBD"/>
    <w:rsid w:val="0063704F"/>
    <w:rsid w:val="0064511C"/>
    <w:rsid w:val="00646AC2"/>
    <w:rsid w:val="00646AD4"/>
    <w:rsid w:val="00647948"/>
    <w:rsid w:val="00650390"/>
    <w:rsid w:val="00652E9C"/>
    <w:rsid w:val="00653167"/>
    <w:rsid w:val="00654DAB"/>
    <w:rsid w:val="00654EC6"/>
    <w:rsid w:val="006579DF"/>
    <w:rsid w:val="0066204A"/>
    <w:rsid w:val="00663BE4"/>
    <w:rsid w:val="00664007"/>
    <w:rsid w:val="00664499"/>
    <w:rsid w:val="0066491B"/>
    <w:rsid w:val="00665A42"/>
    <w:rsid w:val="006706A1"/>
    <w:rsid w:val="006706BF"/>
    <w:rsid w:val="00670E3C"/>
    <w:rsid w:val="00671E0A"/>
    <w:rsid w:val="0067336E"/>
    <w:rsid w:val="00677F57"/>
    <w:rsid w:val="00681088"/>
    <w:rsid w:val="00682DA3"/>
    <w:rsid w:val="00683A7C"/>
    <w:rsid w:val="00686693"/>
    <w:rsid w:val="00686C9E"/>
    <w:rsid w:val="00693643"/>
    <w:rsid w:val="00693F40"/>
    <w:rsid w:val="0069569C"/>
    <w:rsid w:val="0069577E"/>
    <w:rsid w:val="0069634B"/>
    <w:rsid w:val="00696623"/>
    <w:rsid w:val="006A04E9"/>
    <w:rsid w:val="006A4A03"/>
    <w:rsid w:val="006A569C"/>
    <w:rsid w:val="006A5D85"/>
    <w:rsid w:val="006A6D90"/>
    <w:rsid w:val="006A7543"/>
    <w:rsid w:val="006B26B2"/>
    <w:rsid w:val="006B725C"/>
    <w:rsid w:val="006C273D"/>
    <w:rsid w:val="006C408C"/>
    <w:rsid w:val="006C5C4F"/>
    <w:rsid w:val="006C6282"/>
    <w:rsid w:val="006C6F8B"/>
    <w:rsid w:val="006C762A"/>
    <w:rsid w:val="006D2137"/>
    <w:rsid w:val="006D25AF"/>
    <w:rsid w:val="006D5FF9"/>
    <w:rsid w:val="006E0772"/>
    <w:rsid w:val="006E0F86"/>
    <w:rsid w:val="006E29BF"/>
    <w:rsid w:val="006E2B7A"/>
    <w:rsid w:val="006E36FE"/>
    <w:rsid w:val="006E737E"/>
    <w:rsid w:val="006F0B15"/>
    <w:rsid w:val="006F0C54"/>
    <w:rsid w:val="006F0DCC"/>
    <w:rsid w:val="006F408C"/>
    <w:rsid w:val="006F542B"/>
    <w:rsid w:val="006F7348"/>
    <w:rsid w:val="0070287E"/>
    <w:rsid w:val="00703262"/>
    <w:rsid w:val="00703DF9"/>
    <w:rsid w:val="007048EB"/>
    <w:rsid w:val="00704FBB"/>
    <w:rsid w:val="00706179"/>
    <w:rsid w:val="0070726A"/>
    <w:rsid w:val="007103E5"/>
    <w:rsid w:val="0071226B"/>
    <w:rsid w:val="0071650A"/>
    <w:rsid w:val="00717040"/>
    <w:rsid w:val="00720439"/>
    <w:rsid w:val="0073441D"/>
    <w:rsid w:val="00742BDF"/>
    <w:rsid w:val="00744006"/>
    <w:rsid w:val="00744494"/>
    <w:rsid w:val="00745EC9"/>
    <w:rsid w:val="00751656"/>
    <w:rsid w:val="00753EB5"/>
    <w:rsid w:val="00755325"/>
    <w:rsid w:val="0076114E"/>
    <w:rsid w:val="00761F4D"/>
    <w:rsid w:val="007622A7"/>
    <w:rsid w:val="00765024"/>
    <w:rsid w:val="007650D5"/>
    <w:rsid w:val="007655BF"/>
    <w:rsid w:val="007663EF"/>
    <w:rsid w:val="007731DC"/>
    <w:rsid w:val="00773318"/>
    <w:rsid w:val="007735AB"/>
    <w:rsid w:val="007736E6"/>
    <w:rsid w:val="007750A2"/>
    <w:rsid w:val="0077515D"/>
    <w:rsid w:val="00776799"/>
    <w:rsid w:val="007817D6"/>
    <w:rsid w:val="00781E1C"/>
    <w:rsid w:val="00782D02"/>
    <w:rsid w:val="00787912"/>
    <w:rsid w:val="0079177A"/>
    <w:rsid w:val="00794836"/>
    <w:rsid w:val="007948D5"/>
    <w:rsid w:val="007A0E79"/>
    <w:rsid w:val="007A0FAB"/>
    <w:rsid w:val="007A15C9"/>
    <w:rsid w:val="007A396A"/>
    <w:rsid w:val="007A6676"/>
    <w:rsid w:val="007A7630"/>
    <w:rsid w:val="007B1F47"/>
    <w:rsid w:val="007B653A"/>
    <w:rsid w:val="007B7FF5"/>
    <w:rsid w:val="007C3FC6"/>
    <w:rsid w:val="007C6DFA"/>
    <w:rsid w:val="007D1567"/>
    <w:rsid w:val="007D188B"/>
    <w:rsid w:val="007D2CE9"/>
    <w:rsid w:val="007D4FED"/>
    <w:rsid w:val="007D69DA"/>
    <w:rsid w:val="007D70B1"/>
    <w:rsid w:val="007D7140"/>
    <w:rsid w:val="007D7FCC"/>
    <w:rsid w:val="007E1C2E"/>
    <w:rsid w:val="007E1CDB"/>
    <w:rsid w:val="007E28C2"/>
    <w:rsid w:val="007E408C"/>
    <w:rsid w:val="007E50BF"/>
    <w:rsid w:val="007E7E21"/>
    <w:rsid w:val="007F0460"/>
    <w:rsid w:val="007F0DA2"/>
    <w:rsid w:val="007F10F9"/>
    <w:rsid w:val="007F16CD"/>
    <w:rsid w:val="007F39CE"/>
    <w:rsid w:val="007F3A20"/>
    <w:rsid w:val="007F5E0D"/>
    <w:rsid w:val="0080018B"/>
    <w:rsid w:val="00801085"/>
    <w:rsid w:val="00801A89"/>
    <w:rsid w:val="00804457"/>
    <w:rsid w:val="00807D39"/>
    <w:rsid w:val="008108E4"/>
    <w:rsid w:val="00810E34"/>
    <w:rsid w:val="00811613"/>
    <w:rsid w:val="00812138"/>
    <w:rsid w:val="0081384C"/>
    <w:rsid w:val="008151F2"/>
    <w:rsid w:val="0081777A"/>
    <w:rsid w:val="00820EEF"/>
    <w:rsid w:val="008210E0"/>
    <w:rsid w:val="0082279C"/>
    <w:rsid w:val="00823849"/>
    <w:rsid w:val="00823B6B"/>
    <w:rsid w:val="00824079"/>
    <w:rsid w:val="008266FA"/>
    <w:rsid w:val="0083035B"/>
    <w:rsid w:val="00831F0A"/>
    <w:rsid w:val="00833A78"/>
    <w:rsid w:val="00842212"/>
    <w:rsid w:val="0084585F"/>
    <w:rsid w:val="008533C6"/>
    <w:rsid w:val="00853E53"/>
    <w:rsid w:val="0085430D"/>
    <w:rsid w:val="0085535C"/>
    <w:rsid w:val="00857A34"/>
    <w:rsid w:val="00857B3C"/>
    <w:rsid w:val="00860FB8"/>
    <w:rsid w:val="00862B58"/>
    <w:rsid w:val="00863A4D"/>
    <w:rsid w:val="00864D76"/>
    <w:rsid w:val="008656C9"/>
    <w:rsid w:val="0086711C"/>
    <w:rsid w:val="00867535"/>
    <w:rsid w:val="00870792"/>
    <w:rsid w:val="00871C3E"/>
    <w:rsid w:val="00875C5B"/>
    <w:rsid w:val="00876D29"/>
    <w:rsid w:val="00880263"/>
    <w:rsid w:val="00880641"/>
    <w:rsid w:val="0088091F"/>
    <w:rsid w:val="00883C5F"/>
    <w:rsid w:val="00890374"/>
    <w:rsid w:val="00891BB3"/>
    <w:rsid w:val="00891C7D"/>
    <w:rsid w:val="00892512"/>
    <w:rsid w:val="00892FA7"/>
    <w:rsid w:val="00897D31"/>
    <w:rsid w:val="008A1B82"/>
    <w:rsid w:val="008A326B"/>
    <w:rsid w:val="008A3301"/>
    <w:rsid w:val="008A4DF1"/>
    <w:rsid w:val="008A5636"/>
    <w:rsid w:val="008A66E5"/>
    <w:rsid w:val="008B125E"/>
    <w:rsid w:val="008B241C"/>
    <w:rsid w:val="008B408B"/>
    <w:rsid w:val="008B4F11"/>
    <w:rsid w:val="008B673D"/>
    <w:rsid w:val="008B6881"/>
    <w:rsid w:val="008C234A"/>
    <w:rsid w:val="008C2362"/>
    <w:rsid w:val="008C3049"/>
    <w:rsid w:val="008C406B"/>
    <w:rsid w:val="008C4797"/>
    <w:rsid w:val="008C49E8"/>
    <w:rsid w:val="008C74D9"/>
    <w:rsid w:val="008D1D60"/>
    <w:rsid w:val="008D1E5E"/>
    <w:rsid w:val="008D2339"/>
    <w:rsid w:val="008D4434"/>
    <w:rsid w:val="008D4AE9"/>
    <w:rsid w:val="008D5CF3"/>
    <w:rsid w:val="008D7D39"/>
    <w:rsid w:val="008E317B"/>
    <w:rsid w:val="008E4574"/>
    <w:rsid w:val="008E7BDB"/>
    <w:rsid w:val="008F17A1"/>
    <w:rsid w:val="008F3D3E"/>
    <w:rsid w:val="008F4016"/>
    <w:rsid w:val="008F42FE"/>
    <w:rsid w:val="008F4A00"/>
    <w:rsid w:val="008F4FCD"/>
    <w:rsid w:val="008F5402"/>
    <w:rsid w:val="008F794C"/>
    <w:rsid w:val="00900412"/>
    <w:rsid w:val="0090053A"/>
    <w:rsid w:val="00900F8E"/>
    <w:rsid w:val="00901C2A"/>
    <w:rsid w:val="009024D6"/>
    <w:rsid w:val="0090349B"/>
    <w:rsid w:val="00903E39"/>
    <w:rsid w:val="009118C7"/>
    <w:rsid w:val="00913222"/>
    <w:rsid w:val="00913DA1"/>
    <w:rsid w:val="00921A86"/>
    <w:rsid w:val="009225B6"/>
    <w:rsid w:val="00925397"/>
    <w:rsid w:val="009307AC"/>
    <w:rsid w:val="00933A21"/>
    <w:rsid w:val="009341E3"/>
    <w:rsid w:val="009343AB"/>
    <w:rsid w:val="00934C10"/>
    <w:rsid w:val="0093662A"/>
    <w:rsid w:val="0094060C"/>
    <w:rsid w:val="009413FB"/>
    <w:rsid w:val="00942C4B"/>
    <w:rsid w:val="00944196"/>
    <w:rsid w:val="00946452"/>
    <w:rsid w:val="00947838"/>
    <w:rsid w:val="00953252"/>
    <w:rsid w:val="0095394B"/>
    <w:rsid w:val="00957FCE"/>
    <w:rsid w:val="009606A5"/>
    <w:rsid w:val="009613BF"/>
    <w:rsid w:val="0096248F"/>
    <w:rsid w:val="00962F1F"/>
    <w:rsid w:val="009640D0"/>
    <w:rsid w:val="00965304"/>
    <w:rsid w:val="0097032B"/>
    <w:rsid w:val="00971293"/>
    <w:rsid w:val="00973A3B"/>
    <w:rsid w:val="00974BB2"/>
    <w:rsid w:val="0097737B"/>
    <w:rsid w:val="00983CD2"/>
    <w:rsid w:val="00983EAE"/>
    <w:rsid w:val="00986964"/>
    <w:rsid w:val="0098760B"/>
    <w:rsid w:val="009957B2"/>
    <w:rsid w:val="00995BA8"/>
    <w:rsid w:val="00997A35"/>
    <w:rsid w:val="009A11DD"/>
    <w:rsid w:val="009A27A1"/>
    <w:rsid w:val="009B2F76"/>
    <w:rsid w:val="009B30AA"/>
    <w:rsid w:val="009B32E1"/>
    <w:rsid w:val="009B5217"/>
    <w:rsid w:val="009C1BF0"/>
    <w:rsid w:val="009C3AC1"/>
    <w:rsid w:val="009C48DE"/>
    <w:rsid w:val="009D4F23"/>
    <w:rsid w:val="009D60D9"/>
    <w:rsid w:val="009E0AB2"/>
    <w:rsid w:val="009E1E1E"/>
    <w:rsid w:val="009E2AF4"/>
    <w:rsid w:val="009E33E3"/>
    <w:rsid w:val="009E76F0"/>
    <w:rsid w:val="009E7784"/>
    <w:rsid w:val="009E7F16"/>
    <w:rsid w:val="009F1E65"/>
    <w:rsid w:val="009F3DCC"/>
    <w:rsid w:val="009F5052"/>
    <w:rsid w:val="009F7D49"/>
    <w:rsid w:val="00A01000"/>
    <w:rsid w:val="00A03083"/>
    <w:rsid w:val="00A04C85"/>
    <w:rsid w:val="00A05BBE"/>
    <w:rsid w:val="00A100F0"/>
    <w:rsid w:val="00A114F3"/>
    <w:rsid w:val="00A149A2"/>
    <w:rsid w:val="00A156E6"/>
    <w:rsid w:val="00A164CE"/>
    <w:rsid w:val="00A16CDE"/>
    <w:rsid w:val="00A177C5"/>
    <w:rsid w:val="00A2125D"/>
    <w:rsid w:val="00A21605"/>
    <w:rsid w:val="00A23F5A"/>
    <w:rsid w:val="00A27D86"/>
    <w:rsid w:val="00A30A3D"/>
    <w:rsid w:val="00A30A60"/>
    <w:rsid w:val="00A33151"/>
    <w:rsid w:val="00A3423D"/>
    <w:rsid w:val="00A35750"/>
    <w:rsid w:val="00A358AF"/>
    <w:rsid w:val="00A36970"/>
    <w:rsid w:val="00A37685"/>
    <w:rsid w:val="00A41EB4"/>
    <w:rsid w:val="00A42275"/>
    <w:rsid w:val="00A44BFF"/>
    <w:rsid w:val="00A501E3"/>
    <w:rsid w:val="00A50F0C"/>
    <w:rsid w:val="00A5390B"/>
    <w:rsid w:val="00A56441"/>
    <w:rsid w:val="00A57A98"/>
    <w:rsid w:val="00A62018"/>
    <w:rsid w:val="00A660E8"/>
    <w:rsid w:val="00A73042"/>
    <w:rsid w:val="00A736DD"/>
    <w:rsid w:val="00A8036E"/>
    <w:rsid w:val="00A8201F"/>
    <w:rsid w:val="00A82869"/>
    <w:rsid w:val="00A85908"/>
    <w:rsid w:val="00A8758C"/>
    <w:rsid w:val="00A949D9"/>
    <w:rsid w:val="00A952D4"/>
    <w:rsid w:val="00AA127E"/>
    <w:rsid w:val="00AA19AE"/>
    <w:rsid w:val="00AA334B"/>
    <w:rsid w:val="00AA3DA6"/>
    <w:rsid w:val="00AA423D"/>
    <w:rsid w:val="00AA5987"/>
    <w:rsid w:val="00AA6A95"/>
    <w:rsid w:val="00AA6EF7"/>
    <w:rsid w:val="00AA7A57"/>
    <w:rsid w:val="00AB10DE"/>
    <w:rsid w:val="00AB3668"/>
    <w:rsid w:val="00AB3DD6"/>
    <w:rsid w:val="00AB55E0"/>
    <w:rsid w:val="00AB5A89"/>
    <w:rsid w:val="00AB5DA8"/>
    <w:rsid w:val="00AB5ED7"/>
    <w:rsid w:val="00AC0B4C"/>
    <w:rsid w:val="00AC3D27"/>
    <w:rsid w:val="00AC79C4"/>
    <w:rsid w:val="00AD069F"/>
    <w:rsid w:val="00AD0782"/>
    <w:rsid w:val="00AD0AEE"/>
    <w:rsid w:val="00AD49E3"/>
    <w:rsid w:val="00AD4B4F"/>
    <w:rsid w:val="00AD573E"/>
    <w:rsid w:val="00AE16F2"/>
    <w:rsid w:val="00AE2100"/>
    <w:rsid w:val="00AF0616"/>
    <w:rsid w:val="00AF0E28"/>
    <w:rsid w:val="00AF1327"/>
    <w:rsid w:val="00AF6F9B"/>
    <w:rsid w:val="00B0080F"/>
    <w:rsid w:val="00B00D23"/>
    <w:rsid w:val="00B01409"/>
    <w:rsid w:val="00B05214"/>
    <w:rsid w:val="00B10DBD"/>
    <w:rsid w:val="00B11B26"/>
    <w:rsid w:val="00B13B8D"/>
    <w:rsid w:val="00B14FC1"/>
    <w:rsid w:val="00B15629"/>
    <w:rsid w:val="00B2372C"/>
    <w:rsid w:val="00B32F70"/>
    <w:rsid w:val="00B373D0"/>
    <w:rsid w:val="00B43AAA"/>
    <w:rsid w:val="00B43E26"/>
    <w:rsid w:val="00B47B50"/>
    <w:rsid w:val="00B47EDE"/>
    <w:rsid w:val="00B52F34"/>
    <w:rsid w:val="00B53139"/>
    <w:rsid w:val="00B54F7E"/>
    <w:rsid w:val="00B562CE"/>
    <w:rsid w:val="00B56649"/>
    <w:rsid w:val="00B5664F"/>
    <w:rsid w:val="00B56873"/>
    <w:rsid w:val="00B61F44"/>
    <w:rsid w:val="00B62DE2"/>
    <w:rsid w:val="00B64CDD"/>
    <w:rsid w:val="00B74417"/>
    <w:rsid w:val="00B76D15"/>
    <w:rsid w:val="00B77246"/>
    <w:rsid w:val="00B84755"/>
    <w:rsid w:val="00B84BE4"/>
    <w:rsid w:val="00B851CD"/>
    <w:rsid w:val="00B866CD"/>
    <w:rsid w:val="00B90062"/>
    <w:rsid w:val="00B93034"/>
    <w:rsid w:val="00B93A81"/>
    <w:rsid w:val="00B93D05"/>
    <w:rsid w:val="00B95E82"/>
    <w:rsid w:val="00B97C5D"/>
    <w:rsid w:val="00B97FF2"/>
    <w:rsid w:val="00BA1290"/>
    <w:rsid w:val="00BA5664"/>
    <w:rsid w:val="00BB1A2B"/>
    <w:rsid w:val="00BB2792"/>
    <w:rsid w:val="00BB76BF"/>
    <w:rsid w:val="00BC1AD1"/>
    <w:rsid w:val="00BC1CCA"/>
    <w:rsid w:val="00BC1D82"/>
    <w:rsid w:val="00BC4A58"/>
    <w:rsid w:val="00BC5519"/>
    <w:rsid w:val="00BC613B"/>
    <w:rsid w:val="00BD2DB3"/>
    <w:rsid w:val="00BD38BA"/>
    <w:rsid w:val="00BD3D7E"/>
    <w:rsid w:val="00BD3FA0"/>
    <w:rsid w:val="00BD51D9"/>
    <w:rsid w:val="00BD5D98"/>
    <w:rsid w:val="00BD64E2"/>
    <w:rsid w:val="00BE1866"/>
    <w:rsid w:val="00BE1915"/>
    <w:rsid w:val="00BE470A"/>
    <w:rsid w:val="00BE4995"/>
    <w:rsid w:val="00BE5796"/>
    <w:rsid w:val="00BE5AB0"/>
    <w:rsid w:val="00BE6279"/>
    <w:rsid w:val="00BE76CF"/>
    <w:rsid w:val="00BE79A6"/>
    <w:rsid w:val="00BE79AC"/>
    <w:rsid w:val="00BF429A"/>
    <w:rsid w:val="00BF4667"/>
    <w:rsid w:val="00BF514E"/>
    <w:rsid w:val="00BF62BE"/>
    <w:rsid w:val="00BF7F02"/>
    <w:rsid w:val="00C00EA3"/>
    <w:rsid w:val="00C01021"/>
    <w:rsid w:val="00C014B4"/>
    <w:rsid w:val="00C01569"/>
    <w:rsid w:val="00C0617A"/>
    <w:rsid w:val="00C07126"/>
    <w:rsid w:val="00C10E46"/>
    <w:rsid w:val="00C11243"/>
    <w:rsid w:val="00C12CEE"/>
    <w:rsid w:val="00C145B2"/>
    <w:rsid w:val="00C16853"/>
    <w:rsid w:val="00C20F46"/>
    <w:rsid w:val="00C21A15"/>
    <w:rsid w:val="00C22180"/>
    <w:rsid w:val="00C22C5E"/>
    <w:rsid w:val="00C24A39"/>
    <w:rsid w:val="00C25726"/>
    <w:rsid w:val="00C25CE6"/>
    <w:rsid w:val="00C263F0"/>
    <w:rsid w:val="00C31B80"/>
    <w:rsid w:val="00C33D41"/>
    <w:rsid w:val="00C40AFD"/>
    <w:rsid w:val="00C4181C"/>
    <w:rsid w:val="00C41E20"/>
    <w:rsid w:val="00C426FC"/>
    <w:rsid w:val="00C42DAB"/>
    <w:rsid w:val="00C42E3E"/>
    <w:rsid w:val="00C45CEA"/>
    <w:rsid w:val="00C473F9"/>
    <w:rsid w:val="00C51A48"/>
    <w:rsid w:val="00C51C13"/>
    <w:rsid w:val="00C525A5"/>
    <w:rsid w:val="00C52E6C"/>
    <w:rsid w:val="00C52EFC"/>
    <w:rsid w:val="00C5300F"/>
    <w:rsid w:val="00C54594"/>
    <w:rsid w:val="00C568C0"/>
    <w:rsid w:val="00C60207"/>
    <w:rsid w:val="00C665AD"/>
    <w:rsid w:val="00C66CE0"/>
    <w:rsid w:val="00C66EB0"/>
    <w:rsid w:val="00C6756A"/>
    <w:rsid w:val="00C71A49"/>
    <w:rsid w:val="00C71BED"/>
    <w:rsid w:val="00C737B2"/>
    <w:rsid w:val="00C76983"/>
    <w:rsid w:val="00C81B53"/>
    <w:rsid w:val="00C82AD2"/>
    <w:rsid w:val="00C90FB6"/>
    <w:rsid w:val="00C9220E"/>
    <w:rsid w:val="00C92B31"/>
    <w:rsid w:val="00C932BD"/>
    <w:rsid w:val="00C93429"/>
    <w:rsid w:val="00CA16C5"/>
    <w:rsid w:val="00CA36AF"/>
    <w:rsid w:val="00CA415A"/>
    <w:rsid w:val="00CA4F44"/>
    <w:rsid w:val="00CA7A35"/>
    <w:rsid w:val="00CA7CDD"/>
    <w:rsid w:val="00CB0529"/>
    <w:rsid w:val="00CB1318"/>
    <w:rsid w:val="00CB1536"/>
    <w:rsid w:val="00CB4EAE"/>
    <w:rsid w:val="00CB6A15"/>
    <w:rsid w:val="00CB7ECA"/>
    <w:rsid w:val="00CB7FB8"/>
    <w:rsid w:val="00CC1F0E"/>
    <w:rsid w:val="00CC1F71"/>
    <w:rsid w:val="00CC254F"/>
    <w:rsid w:val="00CC5588"/>
    <w:rsid w:val="00CC5EB3"/>
    <w:rsid w:val="00CD0E7B"/>
    <w:rsid w:val="00CD1097"/>
    <w:rsid w:val="00CD2ABD"/>
    <w:rsid w:val="00CD4024"/>
    <w:rsid w:val="00CD4617"/>
    <w:rsid w:val="00CD4855"/>
    <w:rsid w:val="00CE04D9"/>
    <w:rsid w:val="00CE2B77"/>
    <w:rsid w:val="00CE3588"/>
    <w:rsid w:val="00CE4EC6"/>
    <w:rsid w:val="00CE6D43"/>
    <w:rsid w:val="00CE7888"/>
    <w:rsid w:val="00CF0763"/>
    <w:rsid w:val="00CF170A"/>
    <w:rsid w:val="00CF4DBC"/>
    <w:rsid w:val="00D004C2"/>
    <w:rsid w:val="00D03B18"/>
    <w:rsid w:val="00D03D88"/>
    <w:rsid w:val="00D05DCF"/>
    <w:rsid w:val="00D103A8"/>
    <w:rsid w:val="00D10932"/>
    <w:rsid w:val="00D10B14"/>
    <w:rsid w:val="00D10E1C"/>
    <w:rsid w:val="00D12C95"/>
    <w:rsid w:val="00D14509"/>
    <w:rsid w:val="00D161A3"/>
    <w:rsid w:val="00D166A1"/>
    <w:rsid w:val="00D17078"/>
    <w:rsid w:val="00D21F90"/>
    <w:rsid w:val="00D22E49"/>
    <w:rsid w:val="00D23716"/>
    <w:rsid w:val="00D24F42"/>
    <w:rsid w:val="00D25ED8"/>
    <w:rsid w:val="00D27F8F"/>
    <w:rsid w:val="00D301A2"/>
    <w:rsid w:val="00D316B8"/>
    <w:rsid w:val="00D31CFC"/>
    <w:rsid w:val="00D3255D"/>
    <w:rsid w:val="00D32D43"/>
    <w:rsid w:val="00D340C3"/>
    <w:rsid w:val="00D40762"/>
    <w:rsid w:val="00D409CD"/>
    <w:rsid w:val="00D41FB3"/>
    <w:rsid w:val="00D423D4"/>
    <w:rsid w:val="00D42CAF"/>
    <w:rsid w:val="00D47A1B"/>
    <w:rsid w:val="00D47D06"/>
    <w:rsid w:val="00D51E24"/>
    <w:rsid w:val="00D52892"/>
    <w:rsid w:val="00D5310F"/>
    <w:rsid w:val="00D56F28"/>
    <w:rsid w:val="00D601EF"/>
    <w:rsid w:val="00D60AA9"/>
    <w:rsid w:val="00D61533"/>
    <w:rsid w:val="00D6271E"/>
    <w:rsid w:val="00D63B2F"/>
    <w:rsid w:val="00D65BBE"/>
    <w:rsid w:val="00D65DD5"/>
    <w:rsid w:val="00D660A0"/>
    <w:rsid w:val="00D660AE"/>
    <w:rsid w:val="00D67E39"/>
    <w:rsid w:val="00D70747"/>
    <w:rsid w:val="00D7086E"/>
    <w:rsid w:val="00D723D0"/>
    <w:rsid w:val="00D7261D"/>
    <w:rsid w:val="00D74100"/>
    <w:rsid w:val="00D755FC"/>
    <w:rsid w:val="00D76B6D"/>
    <w:rsid w:val="00D84D07"/>
    <w:rsid w:val="00D8526A"/>
    <w:rsid w:val="00D85B7C"/>
    <w:rsid w:val="00D866C1"/>
    <w:rsid w:val="00D8716C"/>
    <w:rsid w:val="00D87EE7"/>
    <w:rsid w:val="00D90B6C"/>
    <w:rsid w:val="00D90BAB"/>
    <w:rsid w:val="00D90E91"/>
    <w:rsid w:val="00D94327"/>
    <w:rsid w:val="00D956AF"/>
    <w:rsid w:val="00DA1C22"/>
    <w:rsid w:val="00DB15A9"/>
    <w:rsid w:val="00DB60E1"/>
    <w:rsid w:val="00DC1347"/>
    <w:rsid w:val="00DC39F1"/>
    <w:rsid w:val="00DC3AFA"/>
    <w:rsid w:val="00DC6728"/>
    <w:rsid w:val="00DD35A9"/>
    <w:rsid w:val="00DE3593"/>
    <w:rsid w:val="00DE3AB6"/>
    <w:rsid w:val="00DE4B35"/>
    <w:rsid w:val="00DF19C1"/>
    <w:rsid w:val="00DF1A0E"/>
    <w:rsid w:val="00DF43E7"/>
    <w:rsid w:val="00DF54CA"/>
    <w:rsid w:val="00DF56C9"/>
    <w:rsid w:val="00DF5B64"/>
    <w:rsid w:val="00E009CD"/>
    <w:rsid w:val="00E01458"/>
    <w:rsid w:val="00E01FC8"/>
    <w:rsid w:val="00E02794"/>
    <w:rsid w:val="00E043E3"/>
    <w:rsid w:val="00E0505B"/>
    <w:rsid w:val="00E05147"/>
    <w:rsid w:val="00E11280"/>
    <w:rsid w:val="00E12331"/>
    <w:rsid w:val="00E12359"/>
    <w:rsid w:val="00E152FF"/>
    <w:rsid w:val="00E23B4B"/>
    <w:rsid w:val="00E2461B"/>
    <w:rsid w:val="00E24886"/>
    <w:rsid w:val="00E24C15"/>
    <w:rsid w:val="00E276FB"/>
    <w:rsid w:val="00E31D6F"/>
    <w:rsid w:val="00E32595"/>
    <w:rsid w:val="00E32DC6"/>
    <w:rsid w:val="00E32E55"/>
    <w:rsid w:val="00E33401"/>
    <w:rsid w:val="00E33A74"/>
    <w:rsid w:val="00E34728"/>
    <w:rsid w:val="00E3679E"/>
    <w:rsid w:val="00E4030B"/>
    <w:rsid w:val="00E41D56"/>
    <w:rsid w:val="00E447D6"/>
    <w:rsid w:val="00E457DF"/>
    <w:rsid w:val="00E46642"/>
    <w:rsid w:val="00E50BB2"/>
    <w:rsid w:val="00E5139A"/>
    <w:rsid w:val="00E5284F"/>
    <w:rsid w:val="00E52BA8"/>
    <w:rsid w:val="00E52D4F"/>
    <w:rsid w:val="00E5413D"/>
    <w:rsid w:val="00E5707B"/>
    <w:rsid w:val="00E571D1"/>
    <w:rsid w:val="00E57977"/>
    <w:rsid w:val="00E6189E"/>
    <w:rsid w:val="00E635D7"/>
    <w:rsid w:val="00E6718B"/>
    <w:rsid w:val="00E70576"/>
    <w:rsid w:val="00E7097D"/>
    <w:rsid w:val="00E71DED"/>
    <w:rsid w:val="00E769AA"/>
    <w:rsid w:val="00E76B81"/>
    <w:rsid w:val="00E777A7"/>
    <w:rsid w:val="00E8078E"/>
    <w:rsid w:val="00E83603"/>
    <w:rsid w:val="00E83954"/>
    <w:rsid w:val="00E83F6A"/>
    <w:rsid w:val="00E86506"/>
    <w:rsid w:val="00E91730"/>
    <w:rsid w:val="00E953D1"/>
    <w:rsid w:val="00E9542F"/>
    <w:rsid w:val="00E96F04"/>
    <w:rsid w:val="00E97AEC"/>
    <w:rsid w:val="00EA1410"/>
    <w:rsid w:val="00EA1E71"/>
    <w:rsid w:val="00EA20FE"/>
    <w:rsid w:val="00EB02BE"/>
    <w:rsid w:val="00EB233E"/>
    <w:rsid w:val="00EB2951"/>
    <w:rsid w:val="00EB3E69"/>
    <w:rsid w:val="00EB491E"/>
    <w:rsid w:val="00EB5596"/>
    <w:rsid w:val="00EB610C"/>
    <w:rsid w:val="00EB681B"/>
    <w:rsid w:val="00EC1396"/>
    <w:rsid w:val="00EC4FAD"/>
    <w:rsid w:val="00EC697F"/>
    <w:rsid w:val="00EC6E33"/>
    <w:rsid w:val="00EC7C8D"/>
    <w:rsid w:val="00ED1D93"/>
    <w:rsid w:val="00ED3B3E"/>
    <w:rsid w:val="00ED4014"/>
    <w:rsid w:val="00EE1F67"/>
    <w:rsid w:val="00EE26FC"/>
    <w:rsid w:val="00EE3CFA"/>
    <w:rsid w:val="00EE69E4"/>
    <w:rsid w:val="00EF0896"/>
    <w:rsid w:val="00EF2A7F"/>
    <w:rsid w:val="00EF7E90"/>
    <w:rsid w:val="00F002B6"/>
    <w:rsid w:val="00F03A54"/>
    <w:rsid w:val="00F054AA"/>
    <w:rsid w:val="00F05ECE"/>
    <w:rsid w:val="00F06045"/>
    <w:rsid w:val="00F106F1"/>
    <w:rsid w:val="00F10AFE"/>
    <w:rsid w:val="00F15C6C"/>
    <w:rsid w:val="00F17173"/>
    <w:rsid w:val="00F1726F"/>
    <w:rsid w:val="00F20987"/>
    <w:rsid w:val="00F224DC"/>
    <w:rsid w:val="00F255BE"/>
    <w:rsid w:val="00F2687F"/>
    <w:rsid w:val="00F26A5E"/>
    <w:rsid w:val="00F274BC"/>
    <w:rsid w:val="00F2769D"/>
    <w:rsid w:val="00F27F29"/>
    <w:rsid w:val="00F3013C"/>
    <w:rsid w:val="00F314DC"/>
    <w:rsid w:val="00F32D54"/>
    <w:rsid w:val="00F33B96"/>
    <w:rsid w:val="00F36C54"/>
    <w:rsid w:val="00F37C6B"/>
    <w:rsid w:val="00F418EA"/>
    <w:rsid w:val="00F41A29"/>
    <w:rsid w:val="00F41B4C"/>
    <w:rsid w:val="00F42573"/>
    <w:rsid w:val="00F44C1C"/>
    <w:rsid w:val="00F47DFD"/>
    <w:rsid w:val="00F518DF"/>
    <w:rsid w:val="00F5294C"/>
    <w:rsid w:val="00F544DB"/>
    <w:rsid w:val="00F54F0C"/>
    <w:rsid w:val="00F56306"/>
    <w:rsid w:val="00F57931"/>
    <w:rsid w:val="00F621E0"/>
    <w:rsid w:val="00F63A73"/>
    <w:rsid w:val="00F63D5A"/>
    <w:rsid w:val="00F648EA"/>
    <w:rsid w:val="00F6502E"/>
    <w:rsid w:val="00F65663"/>
    <w:rsid w:val="00F66F35"/>
    <w:rsid w:val="00F70108"/>
    <w:rsid w:val="00F745B8"/>
    <w:rsid w:val="00F75147"/>
    <w:rsid w:val="00F756C0"/>
    <w:rsid w:val="00F75A40"/>
    <w:rsid w:val="00F77463"/>
    <w:rsid w:val="00F77637"/>
    <w:rsid w:val="00F80EB4"/>
    <w:rsid w:val="00F8435D"/>
    <w:rsid w:val="00F856F0"/>
    <w:rsid w:val="00F862E5"/>
    <w:rsid w:val="00F87CA0"/>
    <w:rsid w:val="00F87DD0"/>
    <w:rsid w:val="00F93360"/>
    <w:rsid w:val="00F93FE4"/>
    <w:rsid w:val="00F97CAE"/>
    <w:rsid w:val="00F97E4E"/>
    <w:rsid w:val="00FA0C41"/>
    <w:rsid w:val="00FA0C9D"/>
    <w:rsid w:val="00FA1A40"/>
    <w:rsid w:val="00FA217B"/>
    <w:rsid w:val="00FA3743"/>
    <w:rsid w:val="00FA54C5"/>
    <w:rsid w:val="00FB02E6"/>
    <w:rsid w:val="00FB0BC5"/>
    <w:rsid w:val="00FB0BCC"/>
    <w:rsid w:val="00FB120C"/>
    <w:rsid w:val="00FB3350"/>
    <w:rsid w:val="00FB5772"/>
    <w:rsid w:val="00FB76A3"/>
    <w:rsid w:val="00FC0B62"/>
    <w:rsid w:val="00FC0FE5"/>
    <w:rsid w:val="00FC51F2"/>
    <w:rsid w:val="00FC590E"/>
    <w:rsid w:val="00FD1ABC"/>
    <w:rsid w:val="00FD39A6"/>
    <w:rsid w:val="00FD7DDF"/>
    <w:rsid w:val="00FE0B45"/>
    <w:rsid w:val="00FE4C92"/>
    <w:rsid w:val="00FF0FAA"/>
    <w:rsid w:val="00FF3759"/>
    <w:rsid w:val="00FF4396"/>
    <w:rsid w:val="00FF4C0E"/>
    <w:rsid w:val="00FF5BE1"/>
    <w:rsid w:val="00FF75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3472C026"/>
  <w15:docId w15:val="{5D590B3D-FC84-4421-9349-8DD9618E208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E00"/>
    <w:pPr>
      <w:spacing w:line="288" w:lineRule="auto"/>
      <w:jc w:val="both"/>
    </w:pPr>
    <w:rPr>
      <w:lang w:eastAsia="en-US" w:bidi="ar-SA"/>
    </w:rPr>
  </w:style>
  <w:style w:type="paragraph" w:styleId="Heading1">
    <w:name w:val="heading 1"/>
    <w:basedOn w:val="Normal"/>
    <w:next w:val="Normal"/>
    <w:link w:val="Heading1Char"/>
    <w:qFormat/>
    <w:rsid w:val="00206E00"/>
    <w:pPr>
      <w:numPr>
        <w:numId w:val="10"/>
      </w:numPr>
      <w:ind w:left="567" w:hanging="567"/>
      <w:outlineLvl w:val="0"/>
    </w:pPr>
    <w:rPr>
      <w:kern w:val="28"/>
    </w:rPr>
  </w:style>
  <w:style w:type="paragraph" w:styleId="Heading2">
    <w:name w:val="heading 2"/>
    <w:basedOn w:val="Normal"/>
    <w:next w:val="Normal"/>
    <w:link w:val="Heading2Char"/>
    <w:qFormat/>
    <w:rsid w:val="00206E00"/>
    <w:pPr>
      <w:numPr>
        <w:ilvl w:val="1"/>
        <w:numId w:val="10"/>
      </w:numPr>
      <w:ind w:left="567" w:hanging="567"/>
      <w:outlineLvl w:val="1"/>
    </w:pPr>
  </w:style>
  <w:style w:type="paragraph" w:styleId="Heading3">
    <w:name w:val="heading 3"/>
    <w:basedOn w:val="Normal"/>
    <w:next w:val="Normal"/>
    <w:link w:val="Heading3Char"/>
    <w:qFormat/>
    <w:rsid w:val="00206E00"/>
    <w:pPr>
      <w:numPr>
        <w:ilvl w:val="2"/>
        <w:numId w:val="10"/>
      </w:numPr>
      <w:ind w:left="567" w:hanging="567"/>
      <w:outlineLvl w:val="2"/>
    </w:pPr>
  </w:style>
  <w:style w:type="paragraph" w:styleId="Heading4">
    <w:name w:val="heading 4"/>
    <w:basedOn w:val="Normal"/>
    <w:next w:val="Normal"/>
    <w:link w:val="Heading4Char"/>
    <w:qFormat/>
    <w:rsid w:val="00206E00"/>
    <w:pPr>
      <w:numPr>
        <w:ilvl w:val="3"/>
        <w:numId w:val="10"/>
      </w:numPr>
      <w:ind w:left="567" w:hanging="567"/>
      <w:outlineLvl w:val="3"/>
    </w:pPr>
  </w:style>
  <w:style w:type="paragraph" w:styleId="Heading5">
    <w:name w:val="heading 5"/>
    <w:basedOn w:val="Normal"/>
    <w:next w:val="Normal"/>
    <w:link w:val="Heading5Char"/>
    <w:qFormat/>
    <w:rsid w:val="00206E00"/>
    <w:pPr>
      <w:numPr>
        <w:ilvl w:val="4"/>
        <w:numId w:val="10"/>
      </w:numPr>
      <w:ind w:left="567" w:hanging="567"/>
      <w:outlineLvl w:val="4"/>
    </w:pPr>
  </w:style>
  <w:style w:type="paragraph" w:styleId="Heading6">
    <w:name w:val="heading 6"/>
    <w:basedOn w:val="Normal"/>
    <w:next w:val="Normal"/>
    <w:link w:val="Heading6Char"/>
    <w:qFormat/>
    <w:rsid w:val="00206E00"/>
    <w:pPr>
      <w:numPr>
        <w:ilvl w:val="5"/>
        <w:numId w:val="10"/>
      </w:numPr>
      <w:ind w:left="567" w:hanging="567"/>
      <w:outlineLvl w:val="5"/>
    </w:pPr>
  </w:style>
  <w:style w:type="paragraph" w:styleId="Heading7">
    <w:name w:val="heading 7"/>
    <w:basedOn w:val="Normal"/>
    <w:next w:val="Normal"/>
    <w:link w:val="Heading7Char"/>
    <w:qFormat/>
    <w:rsid w:val="00206E00"/>
    <w:pPr>
      <w:numPr>
        <w:ilvl w:val="6"/>
        <w:numId w:val="10"/>
      </w:numPr>
      <w:ind w:left="567" w:hanging="567"/>
      <w:outlineLvl w:val="6"/>
    </w:pPr>
  </w:style>
  <w:style w:type="paragraph" w:styleId="Heading8">
    <w:name w:val="heading 8"/>
    <w:basedOn w:val="Normal"/>
    <w:next w:val="Normal"/>
    <w:link w:val="Heading8Char"/>
    <w:qFormat/>
    <w:rsid w:val="00206E00"/>
    <w:pPr>
      <w:numPr>
        <w:ilvl w:val="7"/>
        <w:numId w:val="10"/>
      </w:numPr>
      <w:ind w:left="567" w:hanging="567"/>
      <w:outlineLvl w:val="7"/>
    </w:pPr>
  </w:style>
  <w:style w:type="paragraph" w:styleId="Heading9">
    <w:name w:val="heading 9"/>
    <w:basedOn w:val="Normal"/>
    <w:next w:val="Normal"/>
    <w:link w:val="Heading9Char"/>
    <w:qFormat/>
    <w:rsid w:val="00206E00"/>
    <w:pPr>
      <w:numPr>
        <w:ilvl w:val="8"/>
        <w:numId w:val="10"/>
      </w:numPr>
      <w:ind w:left="567" w:hanging="567"/>
      <w:outlineLvl w:val="8"/>
    </w:pPr>
  </w:style>
  <w:style w:type="character" w:default="1" w:styleId="DefaultParagraphFont">
    <w:name w:val="Default Paragraph Font"/>
    <w:uiPriority w:val="1"/>
    <w:semiHidden/>
    <w:unhideWhenUsed/>
    <w:rsid w:val="00206E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E00"/>
  </w:style>
  <w:style w:type="character" w:customStyle="1" w:styleId="Heading1Char">
    <w:name w:val="Heading 1 Char"/>
    <w:basedOn w:val="DefaultParagraphFont"/>
    <w:link w:val="Heading1"/>
    <w:locked/>
    <w:rsid w:val="00CB1536"/>
    <w:rPr>
      <w:kern w:val="28"/>
      <w:lang w:val="en-US" w:eastAsia="en-US" w:bidi="ar-SA"/>
    </w:rPr>
  </w:style>
  <w:style w:type="character" w:customStyle="1" w:styleId="Heading2Char">
    <w:name w:val="Heading 2 Char"/>
    <w:basedOn w:val="DefaultParagraphFont"/>
    <w:link w:val="Heading2"/>
    <w:locked/>
    <w:rsid w:val="00CB1536"/>
    <w:rPr>
      <w:lang w:val="en-US" w:eastAsia="en-US" w:bidi="ar-SA"/>
    </w:rPr>
  </w:style>
  <w:style w:type="character" w:customStyle="1" w:styleId="Heading3Char">
    <w:name w:val="Heading 3 Char"/>
    <w:basedOn w:val="DefaultParagraphFont"/>
    <w:link w:val="Heading3"/>
    <w:locked/>
    <w:rsid w:val="00CB1536"/>
    <w:rPr>
      <w:lang w:val="en-US" w:eastAsia="en-US" w:bidi="ar-SA"/>
    </w:rPr>
  </w:style>
  <w:style w:type="character" w:customStyle="1" w:styleId="Heading4Char">
    <w:name w:val="Heading 4 Char"/>
    <w:basedOn w:val="DefaultParagraphFont"/>
    <w:link w:val="Heading4"/>
    <w:locked/>
    <w:rsid w:val="00CB1536"/>
    <w:rPr>
      <w:lang w:val="en-US" w:eastAsia="en-US" w:bidi="ar-SA"/>
    </w:rPr>
  </w:style>
  <w:style w:type="character" w:customStyle="1" w:styleId="Heading5Char">
    <w:name w:val="Heading 5 Char"/>
    <w:basedOn w:val="DefaultParagraphFont"/>
    <w:link w:val="Heading5"/>
    <w:locked/>
    <w:rsid w:val="00CB1536"/>
    <w:rPr>
      <w:lang w:val="en-US" w:eastAsia="en-US" w:bidi="ar-SA"/>
    </w:rPr>
  </w:style>
  <w:style w:type="character" w:customStyle="1" w:styleId="Heading6Char">
    <w:name w:val="Heading 6 Char"/>
    <w:basedOn w:val="DefaultParagraphFont"/>
    <w:link w:val="Heading6"/>
    <w:locked/>
    <w:rsid w:val="00CB1536"/>
    <w:rPr>
      <w:lang w:val="en-US" w:eastAsia="en-US" w:bidi="ar-SA"/>
    </w:rPr>
  </w:style>
  <w:style w:type="character" w:customStyle="1" w:styleId="Heading7Char">
    <w:name w:val="Heading 7 Char"/>
    <w:basedOn w:val="DefaultParagraphFont"/>
    <w:link w:val="Heading7"/>
    <w:locked/>
    <w:rsid w:val="00CB1536"/>
    <w:rPr>
      <w:lang w:val="en-US" w:eastAsia="en-US" w:bidi="ar-SA"/>
    </w:rPr>
  </w:style>
  <w:style w:type="character" w:customStyle="1" w:styleId="Heading8Char">
    <w:name w:val="Heading 8 Char"/>
    <w:basedOn w:val="DefaultParagraphFont"/>
    <w:link w:val="Heading8"/>
    <w:locked/>
    <w:rsid w:val="00CB1536"/>
    <w:rPr>
      <w:lang w:val="en-US" w:eastAsia="en-US" w:bidi="ar-SA"/>
    </w:rPr>
  </w:style>
  <w:style w:type="character" w:customStyle="1" w:styleId="Heading9Char">
    <w:name w:val="Heading 9 Char"/>
    <w:basedOn w:val="DefaultParagraphFont"/>
    <w:link w:val="Heading9"/>
    <w:locked/>
    <w:rsid w:val="00CB1536"/>
    <w:rPr>
      <w:lang w:val="en-US" w:eastAsia="en-US" w:bidi="ar-SA"/>
    </w:rPr>
  </w:style>
  <w:style w:type="paragraph" w:styleId="Footer">
    <w:name w:val="footer"/>
    <w:basedOn w:val="Normal"/>
    <w:link w:val="FooterChar"/>
    <w:qFormat/>
    <w:rsid w:val="00206E00"/>
  </w:style>
  <w:style w:type="character" w:customStyle="1" w:styleId="FooterChar">
    <w:name w:val="Footer Char"/>
    <w:basedOn w:val="DefaultParagraphFont"/>
    <w:link w:val="Footer"/>
    <w:locked/>
    <w:rsid w:val="00CB1536"/>
    <w:rPr>
      <w:lang w:val="en-US" w:eastAsia="en-US" w:bidi="ar-SA"/>
    </w:rPr>
  </w:style>
  <w:style w:type="paragraph" w:styleId="FootnoteText">
    <w:name w:val="footnote text"/>
    <w:basedOn w:val="Normal"/>
    <w:link w:val="FootnoteTextChar"/>
    <w:qFormat/>
    <w:rsid w:val="00206E00"/>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n-US" w:eastAsia="en-US" w:bidi="ar-SA"/>
    </w:rPr>
  </w:style>
  <w:style w:type="paragraph" w:styleId="Header">
    <w:name w:val="header"/>
    <w:basedOn w:val="Normal"/>
    <w:link w:val="HeaderChar"/>
    <w:qFormat/>
    <w:rsid w:val="00206E00"/>
  </w:style>
  <w:style w:type="character" w:customStyle="1" w:styleId="HeaderChar">
    <w:name w:val="Header Char"/>
    <w:basedOn w:val="DefaultParagraphFont"/>
    <w:link w:val="Header"/>
    <w:locked/>
    <w:rsid w:val="00CB1536"/>
    <w:rPr>
      <w:lang w:val="en-US"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206E00"/>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206E00"/>
    <w:pPr>
      <w:ind w:left="720"/>
    </w:pPr>
    <w:rPr>
      <w:i/>
    </w:rPr>
  </w:style>
  <w:style w:type="character" w:customStyle="1" w:styleId="xxxxxxjlqj4b">
    <w:name w:val="x_x_x_x_x_x_jlqj4b"/>
    <w:basedOn w:val="DefaultParagraphFont"/>
    <w:rsid w:val="00FB02E6"/>
  </w:style>
  <w:style w:type="table" w:styleId="TableGrid">
    <w:name w:val="Table Grid"/>
    <w:basedOn w:val="TableNormal"/>
    <w:locked/>
    <w:rsid w:val="00EB2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284">
      <w:bodyDiv w:val="1"/>
      <w:marLeft w:val="0"/>
      <w:marRight w:val="0"/>
      <w:marTop w:val="0"/>
      <w:marBottom w:val="0"/>
      <w:divBdr>
        <w:top w:val="none" w:sz="0" w:space="0" w:color="auto"/>
        <w:left w:val="none" w:sz="0" w:space="0" w:color="auto"/>
        <w:bottom w:val="none" w:sz="0" w:space="0" w:color="auto"/>
        <w:right w:val="none" w:sz="0" w:space="0" w:color="auto"/>
      </w:divBdr>
    </w:div>
    <w:div w:id="26373655">
      <w:bodyDiv w:val="1"/>
      <w:marLeft w:val="0"/>
      <w:marRight w:val="0"/>
      <w:marTop w:val="0"/>
      <w:marBottom w:val="0"/>
      <w:divBdr>
        <w:top w:val="none" w:sz="0" w:space="0" w:color="auto"/>
        <w:left w:val="none" w:sz="0" w:space="0" w:color="auto"/>
        <w:bottom w:val="none" w:sz="0" w:space="0" w:color="auto"/>
        <w:right w:val="none" w:sz="0" w:space="0" w:color="auto"/>
      </w:divBdr>
    </w:div>
    <w:div w:id="140004604">
      <w:bodyDiv w:val="1"/>
      <w:marLeft w:val="0"/>
      <w:marRight w:val="0"/>
      <w:marTop w:val="0"/>
      <w:marBottom w:val="0"/>
      <w:divBdr>
        <w:top w:val="none" w:sz="0" w:space="0" w:color="auto"/>
        <w:left w:val="none" w:sz="0" w:space="0" w:color="auto"/>
        <w:bottom w:val="none" w:sz="0" w:space="0" w:color="auto"/>
        <w:right w:val="none" w:sz="0" w:space="0" w:color="auto"/>
      </w:divBdr>
    </w:div>
    <w:div w:id="186219541">
      <w:bodyDiv w:val="1"/>
      <w:marLeft w:val="0"/>
      <w:marRight w:val="0"/>
      <w:marTop w:val="0"/>
      <w:marBottom w:val="0"/>
      <w:divBdr>
        <w:top w:val="none" w:sz="0" w:space="0" w:color="auto"/>
        <w:left w:val="none" w:sz="0" w:space="0" w:color="auto"/>
        <w:bottom w:val="none" w:sz="0" w:space="0" w:color="auto"/>
        <w:right w:val="none" w:sz="0" w:space="0" w:color="auto"/>
      </w:divBdr>
    </w:div>
    <w:div w:id="192503439">
      <w:bodyDiv w:val="1"/>
      <w:marLeft w:val="0"/>
      <w:marRight w:val="0"/>
      <w:marTop w:val="0"/>
      <w:marBottom w:val="0"/>
      <w:divBdr>
        <w:top w:val="none" w:sz="0" w:space="0" w:color="auto"/>
        <w:left w:val="none" w:sz="0" w:space="0" w:color="auto"/>
        <w:bottom w:val="none" w:sz="0" w:space="0" w:color="auto"/>
        <w:right w:val="none" w:sz="0" w:space="0" w:color="auto"/>
      </w:divBdr>
    </w:div>
    <w:div w:id="474688206">
      <w:bodyDiv w:val="1"/>
      <w:marLeft w:val="0"/>
      <w:marRight w:val="0"/>
      <w:marTop w:val="0"/>
      <w:marBottom w:val="0"/>
      <w:divBdr>
        <w:top w:val="none" w:sz="0" w:space="0" w:color="auto"/>
        <w:left w:val="none" w:sz="0" w:space="0" w:color="auto"/>
        <w:bottom w:val="none" w:sz="0" w:space="0" w:color="auto"/>
        <w:right w:val="none" w:sz="0" w:space="0" w:color="auto"/>
      </w:divBdr>
    </w:div>
    <w:div w:id="663509810">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695234613">
      <w:bodyDiv w:val="1"/>
      <w:marLeft w:val="0"/>
      <w:marRight w:val="0"/>
      <w:marTop w:val="0"/>
      <w:marBottom w:val="0"/>
      <w:divBdr>
        <w:top w:val="none" w:sz="0" w:space="0" w:color="auto"/>
        <w:left w:val="none" w:sz="0" w:space="0" w:color="auto"/>
        <w:bottom w:val="none" w:sz="0" w:space="0" w:color="auto"/>
        <w:right w:val="none" w:sz="0" w:space="0" w:color="auto"/>
      </w:divBdr>
    </w:div>
    <w:div w:id="934166158">
      <w:bodyDiv w:val="1"/>
      <w:marLeft w:val="0"/>
      <w:marRight w:val="0"/>
      <w:marTop w:val="0"/>
      <w:marBottom w:val="0"/>
      <w:divBdr>
        <w:top w:val="none" w:sz="0" w:space="0" w:color="auto"/>
        <w:left w:val="none" w:sz="0" w:space="0" w:color="auto"/>
        <w:bottom w:val="none" w:sz="0" w:space="0" w:color="auto"/>
        <w:right w:val="none" w:sz="0" w:space="0" w:color="auto"/>
      </w:divBdr>
    </w:div>
    <w:div w:id="973485272">
      <w:bodyDiv w:val="1"/>
      <w:marLeft w:val="0"/>
      <w:marRight w:val="0"/>
      <w:marTop w:val="0"/>
      <w:marBottom w:val="0"/>
      <w:divBdr>
        <w:top w:val="none" w:sz="0" w:space="0" w:color="auto"/>
        <w:left w:val="none" w:sz="0" w:space="0" w:color="auto"/>
        <w:bottom w:val="none" w:sz="0" w:space="0" w:color="auto"/>
        <w:right w:val="none" w:sz="0" w:space="0" w:color="auto"/>
      </w:divBdr>
    </w:div>
    <w:div w:id="1008753199">
      <w:bodyDiv w:val="1"/>
      <w:marLeft w:val="0"/>
      <w:marRight w:val="0"/>
      <w:marTop w:val="0"/>
      <w:marBottom w:val="0"/>
      <w:divBdr>
        <w:top w:val="none" w:sz="0" w:space="0" w:color="auto"/>
        <w:left w:val="none" w:sz="0" w:space="0" w:color="auto"/>
        <w:bottom w:val="none" w:sz="0" w:space="0" w:color="auto"/>
        <w:right w:val="none" w:sz="0" w:space="0" w:color="auto"/>
      </w:divBdr>
    </w:div>
    <w:div w:id="1037437329">
      <w:bodyDiv w:val="1"/>
      <w:marLeft w:val="0"/>
      <w:marRight w:val="0"/>
      <w:marTop w:val="0"/>
      <w:marBottom w:val="0"/>
      <w:divBdr>
        <w:top w:val="none" w:sz="0" w:space="0" w:color="auto"/>
        <w:left w:val="none" w:sz="0" w:space="0" w:color="auto"/>
        <w:bottom w:val="none" w:sz="0" w:space="0" w:color="auto"/>
        <w:right w:val="none" w:sz="0" w:space="0" w:color="auto"/>
      </w:divBdr>
      <w:divsChild>
        <w:div w:id="125243433">
          <w:marLeft w:val="0"/>
          <w:marRight w:val="0"/>
          <w:marTop w:val="0"/>
          <w:marBottom w:val="0"/>
          <w:divBdr>
            <w:top w:val="none" w:sz="0" w:space="0" w:color="auto"/>
            <w:left w:val="none" w:sz="0" w:space="0" w:color="auto"/>
            <w:bottom w:val="none" w:sz="0" w:space="0" w:color="auto"/>
            <w:right w:val="none" w:sz="0" w:space="0" w:color="auto"/>
          </w:divBdr>
          <w:divsChild>
            <w:div w:id="1131556987">
              <w:marLeft w:val="0"/>
              <w:marRight w:val="0"/>
              <w:marTop w:val="0"/>
              <w:marBottom w:val="0"/>
              <w:divBdr>
                <w:top w:val="none" w:sz="0" w:space="0" w:color="auto"/>
                <w:left w:val="none" w:sz="0" w:space="0" w:color="auto"/>
                <w:bottom w:val="none" w:sz="0" w:space="0" w:color="auto"/>
                <w:right w:val="none" w:sz="0" w:space="0" w:color="auto"/>
              </w:divBdr>
            </w:div>
          </w:divsChild>
        </w:div>
        <w:div w:id="219247929">
          <w:marLeft w:val="0"/>
          <w:marRight w:val="0"/>
          <w:marTop w:val="0"/>
          <w:marBottom w:val="0"/>
          <w:divBdr>
            <w:top w:val="none" w:sz="0" w:space="0" w:color="auto"/>
            <w:left w:val="none" w:sz="0" w:space="0" w:color="auto"/>
            <w:bottom w:val="none" w:sz="0" w:space="0" w:color="auto"/>
            <w:right w:val="none" w:sz="0" w:space="0" w:color="auto"/>
          </w:divBdr>
        </w:div>
      </w:divsChild>
    </w:div>
    <w:div w:id="1133913230">
      <w:bodyDiv w:val="1"/>
      <w:marLeft w:val="0"/>
      <w:marRight w:val="0"/>
      <w:marTop w:val="0"/>
      <w:marBottom w:val="0"/>
      <w:divBdr>
        <w:top w:val="none" w:sz="0" w:space="0" w:color="auto"/>
        <w:left w:val="none" w:sz="0" w:space="0" w:color="auto"/>
        <w:bottom w:val="none" w:sz="0" w:space="0" w:color="auto"/>
        <w:right w:val="none" w:sz="0" w:space="0" w:color="auto"/>
      </w:divBdr>
    </w:div>
    <w:div w:id="1152522582">
      <w:bodyDiv w:val="1"/>
      <w:marLeft w:val="0"/>
      <w:marRight w:val="0"/>
      <w:marTop w:val="0"/>
      <w:marBottom w:val="0"/>
      <w:divBdr>
        <w:top w:val="none" w:sz="0" w:space="0" w:color="auto"/>
        <w:left w:val="none" w:sz="0" w:space="0" w:color="auto"/>
        <w:bottom w:val="none" w:sz="0" w:space="0" w:color="auto"/>
        <w:right w:val="none" w:sz="0" w:space="0" w:color="auto"/>
      </w:divBdr>
    </w:div>
    <w:div w:id="1226987354">
      <w:bodyDiv w:val="1"/>
      <w:marLeft w:val="0"/>
      <w:marRight w:val="0"/>
      <w:marTop w:val="0"/>
      <w:marBottom w:val="0"/>
      <w:divBdr>
        <w:top w:val="none" w:sz="0" w:space="0" w:color="auto"/>
        <w:left w:val="none" w:sz="0" w:space="0" w:color="auto"/>
        <w:bottom w:val="none" w:sz="0" w:space="0" w:color="auto"/>
        <w:right w:val="none" w:sz="0" w:space="0" w:color="auto"/>
      </w:divBdr>
    </w:div>
    <w:div w:id="1230535203">
      <w:bodyDiv w:val="1"/>
      <w:marLeft w:val="0"/>
      <w:marRight w:val="0"/>
      <w:marTop w:val="0"/>
      <w:marBottom w:val="0"/>
      <w:divBdr>
        <w:top w:val="none" w:sz="0" w:space="0" w:color="auto"/>
        <w:left w:val="none" w:sz="0" w:space="0" w:color="auto"/>
        <w:bottom w:val="none" w:sz="0" w:space="0" w:color="auto"/>
        <w:right w:val="none" w:sz="0" w:space="0" w:color="auto"/>
      </w:divBdr>
    </w:div>
    <w:div w:id="1238131028">
      <w:bodyDiv w:val="1"/>
      <w:marLeft w:val="0"/>
      <w:marRight w:val="0"/>
      <w:marTop w:val="0"/>
      <w:marBottom w:val="0"/>
      <w:divBdr>
        <w:top w:val="none" w:sz="0" w:space="0" w:color="auto"/>
        <w:left w:val="none" w:sz="0" w:space="0" w:color="auto"/>
        <w:bottom w:val="none" w:sz="0" w:space="0" w:color="auto"/>
        <w:right w:val="none" w:sz="0" w:space="0" w:color="auto"/>
      </w:divBdr>
    </w:div>
    <w:div w:id="1339310696">
      <w:bodyDiv w:val="1"/>
      <w:marLeft w:val="0"/>
      <w:marRight w:val="0"/>
      <w:marTop w:val="0"/>
      <w:marBottom w:val="0"/>
      <w:divBdr>
        <w:top w:val="none" w:sz="0" w:space="0" w:color="auto"/>
        <w:left w:val="none" w:sz="0" w:space="0" w:color="auto"/>
        <w:bottom w:val="none" w:sz="0" w:space="0" w:color="auto"/>
        <w:right w:val="none" w:sz="0" w:space="0" w:color="auto"/>
      </w:divBdr>
    </w:div>
    <w:div w:id="1346204716">
      <w:bodyDiv w:val="1"/>
      <w:marLeft w:val="0"/>
      <w:marRight w:val="0"/>
      <w:marTop w:val="0"/>
      <w:marBottom w:val="0"/>
      <w:divBdr>
        <w:top w:val="none" w:sz="0" w:space="0" w:color="auto"/>
        <w:left w:val="none" w:sz="0" w:space="0" w:color="auto"/>
        <w:bottom w:val="none" w:sz="0" w:space="0" w:color="auto"/>
        <w:right w:val="none" w:sz="0" w:space="0" w:color="auto"/>
      </w:divBdr>
      <w:divsChild>
        <w:div w:id="876822279">
          <w:marLeft w:val="0"/>
          <w:marRight w:val="0"/>
          <w:marTop w:val="0"/>
          <w:marBottom w:val="0"/>
          <w:divBdr>
            <w:top w:val="none" w:sz="0" w:space="0" w:color="auto"/>
            <w:left w:val="none" w:sz="0" w:space="0" w:color="auto"/>
            <w:bottom w:val="none" w:sz="0" w:space="0" w:color="auto"/>
            <w:right w:val="none" w:sz="0" w:space="0" w:color="auto"/>
          </w:divBdr>
          <w:divsChild>
            <w:div w:id="46801643">
              <w:marLeft w:val="0"/>
              <w:marRight w:val="0"/>
              <w:marTop w:val="0"/>
              <w:marBottom w:val="0"/>
              <w:divBdr>
                <w:top w:val="none" w:sz="0" w:space="0" w:color="auto"/>
                <w:left w:val="none" w:sz="0" w:space="0" w:color="auto"/>
                <w:bottom w:val="none" w:sz="0" w:space="0" w:color="auto"/>
                <w:right w:val="none" w:sz="0" w:space="0" w:color="auto"/>
              </w:divBdr>
              <w:divsChild>
                <w:div w:id="1943997119">
                  <w:marLeft w:val="75"/>
                  <w:marRight w:val="0"/>
                  <w:marTop w:val="0"/>
                  <w:marBottom w:val="0"/>
                  <w:divBdr>
                    <w:top w:val="none" w:sz="0" w:space="0" w:color="auto"/>
                    <w:left w:val="none" w:sz="0" w:space="0" w:color="auto"/>
                    <w:bottom w:val="none" w:sz="0" w:space="0" w:color="auto"/>
                    <w:right w:val="none" w:sz="0" w:space="0" w:color="auto"/>
                  </w:divBdr>
                </w:div>
                <w:div w:id="1539774446">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598175094">
          <w:marLeft w:val="0"/>
          <w:marRight w:val="0"/>
          <w:marTop w:val="105"/>
          <w:marBottom w:val="0"/>
          <w:divBdr>
            <w:top w:val="none" w:sz="0" w:space="0" w:color="auto"/>
            <w:left w:val="none" w:sz="0" w:space="0" w:color="auto"/>
            <w:bottom w:val="none" w:sz="0" w:space="0" w:color="auto"/>
            <w:right w:val="none" w:sz="0" w:space="0" w:color="auto"/>
          </w:divBdr>
          <w:divsChild>
            <w:div w:id="1187788187">
              <w:marLeft w:val="0"/>
              <w:marRight w:val="0"/>
              <w:marTop w:val="0"/>
              <w:marBottom w:val="0"/>
              <w:divBdr>
                <w:top w:val="none" w:sz="0" w:space="0" w:color="auto"/>
                <w:left w:val="none" w:sz="0" w:space="0" w:color="auto"/>
                <w:bottom w:val="none" w:sz="0" w:space="0" w:color="auto"/>
                <w:right w:val="none" w:sz="0" w:space="0" w:color="auto"/>
              </w:divBdr>
              <w:divsChild>
                <w:div w:id="1826583392">
                  <w:marLeft w:val="0"/>
                  <w:marRight w:val="0"/>
                  <w:marTop w:val="0"/>
                  <w:marBottom w:val="0"/>
                  <w:divBdr>
                    <w:top w:val="none" w:sz="0" w:space="0" w:color="auto"/>
                    <w:left w:val="none" w:sz="0" w:space="0" w:color="auto"/>
                    <w:bottom w:val="none" w:sz="0" w:space="0" w:color="auto"/>
                    <w:right w:val="none" w:sz="0" w:space="0" w:color="auto"/>
                  </w:divBdr>
                  <w:divsChild>
                    <w:div w:id="76023859">
                      <w:marLeft w:val="0"/>
                      <w:marRight w:val="0"/>
                      <w:marTop w:val="30"/>
                      <w:marBottom w:val="0"/>
                      <w:divBdr>
                        <w:top w:val="single" w:sz="6" w:space="4" w:color="C3C4BD"/>
                        <w:left w:val="single" w:sz="6" w:space="5" w:color="C3C4BD"/>
                        <w:bottom w:val="single" w:sz="6" w:space="4" w:color="C3C4BD"/>
                        <w:right w:val="single" w:sz="6" w:space="4" w:color="C3C4BD"/>
                      </w:divBdr>
                    </w:div>
                    <w:div w:id="528490445">
                      <w:marLeft w:val="0"/>
                      <w:marRight w:val="0"/>
                      <w:marTop w:val="0"/>
                      <w:marBottom w:val="0"/>
                      <w:divBdr>
                        <w:top w:val="none" w:sz="0" w:space="0" w:color="auto"/>
                        <w:left w:val="none" w:sz="0" w:space="0" w:color="auto"/>
                        <w:bottom w:val="none" w:sz="0" w:space="0" w:color="auto"/>
                        <w:right w:val="none" w:sz="0" w:space="0" w:color="auto"/>
                      </w:divBdr>
                    </w:div>
                    <w:div w:id="211027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6481">
              <w:marLeft w:val="0"/>
              <w:marRight w:val="0"/>
              <w:marTop w:val="0"/>
              <w:marBottom w:val="0"/>
              <w:divBdr>
                <w:top w:val="none" w:sz="0" w:space="0" w:color="auto"/>
                <w:left w:val="none" w:sz="0" w:space="0" w:color="auto"/>
                <w:bottom w:val="none" w:sz="0" w:space="0" w:color="auto"/>
                <w:right w:val="none" w:sz="0" w:space="0" w:color="auto"/>
              </w:divBdr>
              <w:divsChild>
                <w:div w:id="163787625">
                  <w:marLeft w:val="45"/>
                  <w:marRight w:val="0"/>
                  <w:marTop w:val="30"/>
                  <w:marBottom w:val="0"/>
                  <w:divBdr>
                    <w:top w:val="single" w:sz="6" w:space="4" w:color="C3C4BD"/>
                    <w:left w:val="single" w:sz="6" w:space="5" w:color="C3C4BD"/>
                    <w:bottom w:val="single" w:sz="6" w:space="4" w:color="C3C4BD"/>
                    <w:right w:val="single" w:sz="6" w:space="4" w:color="C3C4BD"/>
                  </w:divBdr>
                </w:div>
              </w:divsChild>
            </w:div>
          </w:divsChild>
        </w:div>
      </w:divsChild>
    </w:div>
    <w:div w:id="1432354820">
      <w:bodyDiv w:val="1"/>
      <w:marLeft w:val="0"/>
      <w:marRight w:val="0"/>
      <w:marTop w:val="0"/>
      <w:marBottom w:val="0"/>
      <w:divBdr>
        <w:top w:val="none" w:sz="0" w:space="0" w:color="auto"/>
        <w:left w:val="none" w:sz="0" w:space="0" w:color="auto"/>
        <w:bottom w:val="none" w:sz="0" w:space="0" w:color="auto"/>
        <w:right w:val="none" w:sz="0" w:space="0" w:color="auto"/>
      </w:divBdr>
    </w:div>
    <w:div w:id="1443451804">
      <w:bodyDiv w:val="1"/>
      <w:marLeft w:val="0"/>
      <w:marRight w:val="0"/>
      <w:marTop w:val="0"/>
      <w:marBottom w:val="0"/>
      <w:divBdr>
        <w:top w:val="none" w:sz="0" w:space="0" w:color="auto"/>
        <w:left w:val="none" w:sz="0" w:space="0" w:color="auto"/>
        <w:bottom w:val="none" w:sz="0" w:space="0" w:color="auto"/>
        <w:right w:val="none" w:sz="0" w:space="0" w:color="auto"/>
      </w:divBdr>
    </w:div>
    <w:div w:id="1540891970">
      <w:bodyDiv w:val="1"/>
      <w:marLeft w:val="0"/>
      <w:marRight w:val="0"/>
      <w:marTop w:val="0"/>
      <w:marBottom w:val="0"/>
      <w:divBdr>
        <w:top w:val="none" w:sz="0" w:space="0" w:color="auto"/>
        <w:left w:val="none" w:sz="0" w:space="0" w:color="auto"/>
        <w:bottom w:val="none" w:sz="0" w:space="0" w:color="auto"/>
        <w:right w:val="none" w:sz="0" w:space="0" w:color="auto"/>
      </w:divBdr>
    </w:div>
    <w:div w:id="1577085211">
      <w:bodyDiv w:val="1"/>
      <w:marLeft w:val="0"/>
      <w:marRight w:val="0"/>
      <w:marTop w:val="0"/>
      <w:marBottom w:val="0"/>
      <w:divBdr>
        <w:top w:val="none" w:sz="0" w:space="0" w:color="auto"/>
        <w:left w:val="none" w:sz="0" w:space="0" w:color="auto"/>
        <w:bottom w:val="none" w:sz="0" w:space="0" w:color="auto"/>
        <w:right w:val="none" w:sz="0" w:space="0" w:color="auto"/>
      </w:divBdr>
    </w:div>
    <w:div w:id="1604726601">
      <w:bodyDiv w:val="1"/>
      <w:marLeft w:val="0"/>
      <w:marRight w:val="0"/>
      <w:marTop w:val="0"/>
      <w:marBottom w:val="0"/>
      <w:divBdr>
        <w:top w:val="none" w:sz="0" w:space="0" w:color="auto"/>
        <w:left w:val="none" w:sz="0" w:space="0" w:color="auto"/>
        <w:bottom w:val="none" w:sz="0" w:space="0" w:color="auto"/>
        <w:right w:val="none" w:sz="0" w:space="0" w:color="auto"/>
      </w:divBdr>
    </w:div>
    <w:div w:id="1855991961">
      <w:bodyDiv w:val="1"/>
      <w:marLeft w:val="0"/>
      <w:marRight w:val="0"/>
      <w:marTop w:val="0"/>
      <w:marBottom w:val="0"/>
      <w:divBdr>
        <w:top w:val="none" w:sz="0" w:space="0" w:color="auto"/>
        <w:left w:val="none" w:sz="0" w:space="0" w:color="auto"/>
        <w:bottom w:val="none" w:sz="0" w:space="0" w:color="auto"/>
        <w:right w:val="none" w:sz="0" w:space="0" w:color="auto"/>
      </w:divBdr>
    </w:div>
    <w:div w:id="1873764800">
      <w:bodyDiv w:val="1"/>
      <w:marLeft w:val="0"/>
      <w:marRight w:val="0"/>
      <w:marTop w:val="0"/>
      <w:marBottom w:val="0"/>
      <w:divBdr>
        <w:top w:val="none" w:sz="0" w:space="0" w:color="auto"/>
        <w:left w:val="none" w:sz="0" w:space="0" w:color="auto"/>
        <w:bottom w:val="none" w:sz="0" w:space="0" w:color="auto"/>
        <w:right w:val="none" w:sz="0" w:space="0" w:color="auto"/>
      </w:divBdr>
    </w:div>
    <w:div w:id="1876960317">
      <w:bodyDiv w:val="1"/>
      <w:marLeft w:val="0"/>
      <w:marRight w:val="0"/>
      <w:marTop w:val="0"/>
      <w:marBottom w:val="0"/>
      <w:divBdr>
        <w:top w:val="none" w:sz="0" w:space="0" w:color="auto"/>
        <w:left w:val="none" w:sz="0" w:space="0" w:color="auto"/>
        <w:bottom w:val="none" w:sz="0" w:space="0" w:color="auto"/>
        <w:right w:val="none" w:sz="0" w:space="0" w:color="auto"/>
      </w:divBdr>
    </w:div>
    <w:div w:id="187939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xUriServ/LexUriServ.do?uri=OJ:C:2015:383:SOM:SK:HTML" TargetMode="External"/><Relationship Id="rId3" Type="http://schemas.openxmlformats.org/officeDocument/2006/relationships/hyperlink" Target="https://eur-lex.europa.eu/LexUriServ/LexUriServ.do?uri=OJ:C:2019:282:SOM:SK:HTML" TargetMode="External"/><Relationship Id="rId7" Type="http://schemas.openxmlformats.org/officeDocument/2006/relationships/hyperlink" Target="https://eur-lex.europa.eu/LexUriServ/LexUriServ.do?uri=OJ:C:2020:364:SOM:SK:HTML" TargetMode="External"/><Relationship Id="rId2" Type="http://schemas.openxmlformats.org/officeDocument/2006/relationships/hyperlink" Target="https://eur-lex.europa.eu/LexUriServ/LexUriServ.do?uri=OJ:C:2020:364:SOM:SK:HTML" TargetMode="External"/><Relationship Id="rId1" Type="http://schemas.openxmlformats.org/officeDocument/2006/relationships/hyperlink" Target="https://eur-lex.europa.eu/LexUriServ/LexUriServ.do?uri=OJ:C:2019:353:SOM:SK:HTML" TargetMode="External"/><Relationship Id="rId6" Type="http://schemas.openxmlformats.org/officeDocument/2006/relationships/hyperlink" Target="https://eur-lex.europa.eu/LexUriServ/LexUriServ.do?uri=OJ:C:2018:262:SOM:SK:HTML" TargetMode="External"/><Relationship Id="rId5" Type="http://schemas.openxmlformats.org/officeDocument/2006/relationships/hyperlink" Target="https://circulareconomy.europa.eu/platform/en/." TargetMode="External"/><Relationship Id="rId4" Type="http://schemas.openxmlformats.org/officeDocument/2006/relationships/hyperlink" Target="https://eur-lex.europa.eu/LexUriServ/LexUriServ.do?uri=OJ:C:2019:062:SOM:SK: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737E0B42D236040B3344A682183C722" ma:contentTypeVersion="5" ma:contentTypeDescription="Defines the documents for Document Manager V2" ma:contentTypeScope="" ma:versionID="a49dfa9223646b4869d5b0aad117590a">
  <xsd:schema xmlns:xsd="http://www.w3.org/2001/XMLSchema" xmlns:xs="http://www.w3.org/2001/XMLSchema" xmlns:p="http://schemas.microsoft.com/office/2006/metadata/properties" xmlns:ns2="01cfe264-354f-4f3f-acd0-cf26eb309336" xmlns:ns3="http://schemas.microsoft.com/sharepoint/v3/fields" xmlns:ns4="196ffe2b-9ed3-447e-a11d-182b366da4dc" targetNamespace="http://schemas.microsoft.com/office/2006/metadata/properties" ma:root="true" ma:fieldsID="a03460f8433ef602e5bc54e760c9ae9a" ns2:_="" ns3:_="" ns4:_="">
    <xsd:import namespace="01cfe264-354f-4f3f-acd0-cf26eb309336"/>
    <xsd:import namespace="http://schemas.microsoft.com/sharepoint/v3/fields"/>
    <xsd:import namespace="196ffe2b-9ed3-447e-a11d-182b366da4dc"/>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6ffe2b-9ed3-447e-a11d-182b366da4dc"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V63NAVDT5PV3-1365199066-6764</_dlc_DocId>
    <_dlc_DocIdUrl xmlns="01cfe264-354f-4f3f-acd0-cf26eb309336">
      <Url>http://dm2016/eesc/2021/_layouts/15/DocIdRedir.aspx?ID=V63NAVDT5PV3-1365199066-6764</Url>
      <Description>V63NAVDT5PV3-1365199066-6764</Description>
    </_dlc_DocIdUrl>
    <Procedure xmlns="01cfe264-354f-4f3f-acd0-cf26eb309336">2020/0353(COD)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2021-04-21T12:00:00+00:00</ProductionDate>
    <DocumentNumber xmlns="196ffe2b-9ed3-447e-a11d-182b366da4dc">122</DocumentNumber>
    <FicheYear xmlns="01cfe264-354f-4f3f-acd0-cf26eb309336" xsi:nil="true"/>
    <DocumentVersion xmlns="01cfe264-354f-4f3f-acd0-cf26eb309336">1</DocumentVersion>
    <DossierNumber xmlns="01cfe264-354f-4f3f-acd0-cf26eb309336">178</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53</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Rapporteur xmlns="01cfe264-354f-4f3f-acd0-cf26eb309336">CHOIX &amp; UHLIG</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5531</FicheNumber>
    <DocumentPart xmlns="01cfe264-354f-4f3f-acd0-cf26eb309336">0</DocumentPart>
    <AdoptionDate xmlns="01cfe264-354f-4f3f-acd0-cf26eb309336">2021-03-24T12:00:00+00:00</AdoptionDate>
    <RequestingService xmlns="01cfe264-354f-4f3f-acd0-cf26eb309336">Commission consultative des mutations industrielles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96ffe2b-9ed3-447e-a11d-182b366da4dc"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CCMI</TermName>
          <TermId xmlns="http://schemas.microsoft.com/office/infopath/2007/PartnerControls">3451ec22-e6ff-42b3-8610-379fec773b3a</TermId>
        </TermInfo>
      </Terms>
    </DossierName_0>
    <OriginalSender xmlns="01cfe264-354f-4f3f-acd0-cf26eb309336">
      <UserInfo>
        <DisplayName/>
        <AccountId xsi:nil="true"/>
        <AccountType/>
      </UserInfo>
    </OriginalSender>
  </documentManagement>
</p:properties>
</file>

<file path=customXml/itemProps1.xml><?xml version="1.0" encoding="utf-8"?>
<ds:datastoreItem xmlns:ds="http://schemas.openxmlformats.org/officeDocument/2006/customXml" ds:itemID="{CA054B37-BD4C-4DA5-AE0B-D0DE4B44383F}"/>
</file>

<file path=customXml/itemProps2.xml><?xml version="1.0" encoding="utf-8"?>
<ds:datastoreItem xmlns:ds="http://schemas.openxmlformats.org/officeDocument/2006/customXml" ds:itemID="{202E6C76-F3D6-4637-A0E3-37EFD1D12A46}"/>
</file>

<file path=customXml/itemProps3.xml><?xml version="1.0" encoding="utf-8"?>
<ds:datastoreItem xmlns:ds="http://schemas.openxmlformats.org/officeDocument/2006/customXml" ds:itemID="{0737F54A-3739-47A3-9411-6249032DEF8E}"/>
</file>

<file path=customXml/itemProps4.xml><?xml version="1.0" encoding="utf-8"?>
<ds:datastoreItem xmlns:ds="http://schemas.openxmlformats.org/officeDocument/2006/customXml" ds:itemID="{BDF64388-4D4A-4571-B44B-D7A4DF3A6C1A}"/>
</file>

<file path=docProps/app.xml><?xml version="1.0" encoding="utf-8"?>
<Properties xmlns="http://schemas.openxmlformats.org/officeDocument/2006/extended-properties" xmlns:vt="http://schemas.openxmlformats.org/officeDocument/2006/docPropsVTypes">
  <Template>Styles</Template>
  <TotalTime>91</TotalTime>
  <Pages>10</Pages>
  <Words>3045</Words>
  <Characters>17361</Characters>
  <Application>Microsoft Office Word</Application>
  <DocSecurity>0</DocSecurity>
  <Lines>144</Lines>
  <Paragraphs>40</Paragraphs>
  <ScaleCrop>false</ScaleCrop>
  <HeadingPairs>
    <vt:vector size="8" baseType="variant">
      <vt:variant>
        <vt:lpstr>Title</vt:lpstr>
      </vt:variant>
      <vt:variant>
        <vt:i4>1</vt:i4>
      </vt:variant>
      <vt:variant>
        <vt:lpstr>Titre</vt:lpstr>
      </vt:variant>
      <vt:variant>
        <vt:i4>1</vt:i4>
      </vt:variant>
      <vt:variant>
        <vt:lpstr>Tittel</vt:lpstr>
      </vt:variant>
      <vt:variant>
        <vt:i4>1</vt:i4>
      </vt:variant>
      <vt:variant>
        <vt:lpstr>Titlu</vt:lpstr>
      </vt:variant>
      <vt:variant>
        <vt:i4>1</vt:i4>
      </vt:variant>
    </vt:vector>
  </HeadingPairs>
  <TitlesOfParts>
    <vt:vector size="4" baseType="lpstr">
      <vt:lpstr>Exigences de durabilité pour les batteries dans l'UE</vt:lpstr>
      <vt:lpstr>Exigences de durabilité pour les batteries dans l'UE</vt:lpstr>
      <vt:lpstr>NEW EESC MODEL  - DT</vt:lpstr>
      <vt:lpstr>European Agenda on Migration: Second implementation package - A permanent crisis relocation mechanism under the Dublin system</vt:lpstr>
    </vt:vector>
  </TitlesOfParts>
  <Company>CESE-CdR</Company>
  <LinksUpToDate>false</LinksUpToDate>
  <CharactersWithSpaces>20366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Požiadavky na udržateľnosť batérií v EÚ</dc:title>
  <dc:subject>AC</dc:subject>
  <dc:creator>Tomas Vocasek</dc:creator>
  <cp:keywords>EESC-2021-00122-00-01-AC-TRA-EN</cp:keywords>
  <dc:description>Rapporteur: CHOIX &amp; UHLIG - Original language: EN - Date of document: 21. 04. 2021 - Date of meeting:  - External documents: COM(2020)798-final - Administrator: M. PLEZER Adam</dc:description>
  <cp:lastModifiedBy>Dudaskova Anna</cp:lastModifiedBy>
  <cp:revision>19</cp:revision>
  <cp:lastPrinted>2016-01-26T08:31:00Z</cp:lastPrinted>
  <dcterms:created xsi:type="dcterms:W3CDTF">2021-03-08T10:19:00Z</dcterms:created>
  <dcterms:modified xsi:type="dcterms:W3CDTF">2021-04-21T14:27:00Z</dcterms:modified>
  <cp:category>CCMI/178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08/03/2021, 23/02/2021, 05/02/2021, 13/01/2021, 02/12/2020, 02/12/2020, 04/11/2015, 27/10/2015, 19/10/2015, 09/10/2015, 05/10/2015, 05/10/2015, 26/08/2015, 26/08/2015, 25/08/2015</vt:lpwstr>
  </property>
  <property fmtid="{D5CDD505-2E9C-101B-9397-08002B2CF9AE}" pid="4" name="Pref_Time">
    <vt:lpwstr>11:19:19, 10:25:17, 13:42:21, 18:20:07, 14:38:54, 14:02:11, 12/10/07, 14:44:02, 16/04/16, 14:09:30, 16:24:55, 16:04:02, 08:56:14, 07:27:56, 17:31:53</vt:lpwstr>
  </property>
  <property fmtid="{D5CDD505-2E9C-101B-9397-08002B2CF9AE}" pid="5" name="Pref_User">
    <vt:lpwstr>hnic, hnic, amett, hnic, amett, ymur, ssex, enied, amett, tvoc, mreg, mreg, amett, enied, ssex</vt:lpwstr>
  </property>
  <property fmtid="{D5CDD505-2E9C-101B-9397-08002B2CF9AE}" pid="6" name="Pref_FileName">
    <vt:lpwstr>EESC-2021-00122-00-00-AS-TRA-FR-CRR.docx, EESC-2021-00122-00-00-PA-TRA-FR-CRR.docx, EESC-2021-00122-00-00-APA-TRA-FR-CRR.docx, EESC-2021-00122-00-00-DT-ORI.docx, EESC-2020-05078-00-00-DT-TRA-EN-CRR.docx, EESC-2020-05078-00-00-DT-CRR-EN.docx, EESC-2015-054</vt:lpwstr>
  </property>
  <property fmtid="{D5CDD505-2E9C-101B-9397-08002B2CF9AE}" pid="7" name="ContentTypeId">
    <vt:lpwstr>0x010100EA97B91038054C99906057A708A1480A002737E0B42D236040B3344A682183C722</vt:lpwstr>
  </property>
  <property fmtid="{D5CDD505-2E9C-101B-9397-08002B2CF9AE}" pid="8" name="_dlc_DocIdItemGuid">
    <vt:lpwstr>a118a4f7-4ccc-44b3-aa3b-7769932ded63</vt:lpwstr>
  </property>
  <property fmtid="{D5CDD505-2E9C-101B-9397-08002B2CF9AE}" pid="9" name="Procedure">
    <vt:lpwstr>2020/0353(COD)</vt:lpwstr>
  </property>
  <property fmtid="{D5CDD505-2E9C-101B-9397-08002B2CF9AE}" pid="10" name="AvailableTranslations">
    <vt:lpwstr>16;#IT|0774613c-01ed-4e5d-a25d-11d2388de825;#21;#HU|6b229040-c589-4408-b4c1-4285663d20a8;#12;#DA|5d49c027-8956-412b-aa16-e85a0f96ad0e;#9;#EN|f2175f21-25d7-44a3-96da-d6a61b075e1b;#25;#CS|72f9705b-0217-4fd3-bea2-cbc7ed80e26e;#35;#PL|1e03da61-4678-4e07-b136-b5024ca9197b;#66;#GA|762d2456-c427-4ecb-b312-af3dad8e258c;#40;#SV|c2ed69e7-a339-43d7-8f22-d93680a92aa0;#39;#SL|98a412ae-eb01-49e9-ae3d-585a81724cfc;#19;#SK|46d9fce0-ef79-4f71-b89b-cd6aa82426b8;#42;#FI|87606a43-d45f-42d6-b8c9-e1a3457db5b7;#11;#DE|f6b31e5a-26fa-4935-b661-318e46daf27e;#58;#MT|7df99101-6854-4a26-b53a-b88c0da02c26;#15;#LT|a7ff5ce7-6123-4f68-865a-a57c31810414;#13;#PT|50ccc04a-eadd-42ae-a0cb-acaf45f812ba;#14;#ET|ff6c3f4c-b02c-4c3c-ab07-2c37995a7a0a;#41;#BG|1a1b3951-7821-4e6a-85f5-5673fc08bd2c;#4;#FR|d2afafd3-4c81-4f60-8f52-ee33f2f54ff3;#37;#EL|6d4f4d51-af9b-4650-94b4-4276bee85c91;#45;#RO|feb747a2-64cd-4299-af12-4833ddc30497;#18;#LV|46f7e311-5d9f-4663-b433-18aeccb7ace7;#17;#NL|55c6556c-b4f4-441d-9acf-c498d4f838bd;#28;#ES|e7a6b05b-ae16-40c8-add9-68b64b03aeba;#38;#HR|2f555653-ed1a-4fe6-8362-9082d95989e5</vt:lpwstr>
  </property>
  <property fmtid="{D5CDD505-2E9C-101B-9397-08002B2CF9AE}" pid="11" name="DocumentType_0">
    <vt:lpwstr>AC|a4cc1d15-fb08-4679-ad46-e4e0cba5fe92</vt:lpwstr>
  </property>
  <property fmtid="{D5CDD505-2E9C-101B-9397-08002B2CF9AE}" pid="12" name="DossierName_0">
    <vt:lpwstr>CCMI|3451ec22-e6ff-42b3-8610-379fec773b3a</vt:lpwstr>
  </property>
  <property fmtid="{D5CDD505-2E9C-101B-9397-08002B2CF9AE}" pid="13" name="DocumentSource_0">
    <vt:lpwstr>EESC|422833ec-8d7e-4e65-8e4e-8bed07ffb729</vt:lpwstr>
  </property>
  <property fmtid="{D5CDD505-2E9C-101B-9397-08002B2CF9AE}" pid="14" name="DocumentNumber">
    <vt:i4>122</vt:i4>
  </property>
  <property fmtid="{D5CDD505-2E9C-101B-9397-08002B2CF9AE}" pid="15" name="DocumentVersion">
    <vt:i4>1</vt:i4>
  </property>
  <property fmtid="{D5CDD505-2E9C-101B-9397-08002B2CF9AE}" pid="16" name="DossierNumber">
    <vt:i4>178</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53;#CCMI|3451ec22-e6ff-42b3-8610-379fec773b3a</vt:lpwstr>
  </property>
  <property fmtid="{D5CDD505-2E9C-101B-9397-08002B2CF9AE}" pid="20" name="DocumentSource">
    <vt:lpwstr>1;#EESC|422833ec-8d7e-4e65-8e4e-8bed07ffb729</vt:lpwstr>
  </property>
  <property fmtid="{D5CDD505-2E9C-101B-9397-08002B2CF9AE}" pid="21" name="AdoptionDate">
    <vt:filetime>2021-03-24T12:00:00Z</vt:filetime>
  </property>
  <property fmtid="{D5CDD505-2E9C-101B-9397-08002B2CF9AE}" pid="22" name="DocumentType">
    <vt:lpwstr>86;#AC|a4cc1d15-fb08-4679-ad46-e4e0cba5fe92</vt:lpwstr>
  </property>
  <property fmtid="{D5CDD505-2E9C-101B-9397-08002B2CF9AE}" pid="23" name="RequestingService">
    <vt:lpwstr>Commission consultative des mutations industrielles</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86;#AC|a4cc1d15-fb08-4679-ad46-e4e0cba5fe92;#9;#EN|f2175f21-25d7-44a3-96da-d6a61b075e1b;#7;#TRA|150d2a88-1431-44e6-a8ca-0bb753ab8672;#6;#Final|ea5e6674-7b27-4bac-b091-73adbb394efe;#5;#Unrestricted|826e22d7-d029-4ec0-a450-0c28ff673572;#53;#CCMI|3451ec22-e6ff-42b3-8610-379fec773b3a;#1;#EESC|422833ec-8d7e-4e65-8e4e-8bed07ffb729</vt:lpwstr>
  </property>
  <property fmtid="{D5CDD505-2E9C-101B-9397-08002B2CF9AE}" pid="34" name="Rapporteur">
    <vt:lpwstr>CHOIX &amp; UHLIG</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5531</vt:i4>
  </property>
  <property fmtid="{D5CDD505-2E9C-101B-9397-08002B2CF9AE}" pid="39" name="DocumentLanguage">
    <vt:lpwstr>19;#SK|46d9fce0-ef79-4f71-b89b-cd6aa82426b8</vt:lpwstr>
  </property>
  <property fmtid="{D5CDD505-2E9C-101B-9397-08002B2CF9AE}" pid="40" name="_docset_NoMedatataSyncRequired">
    <vt:lpwstr>False</vt:lpwstr>
  </property>
</Properties>
</file>