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754BA9" w:rsidR="00646AC2" w:rsidP="00543904" w:rsidRDefault="00A651AE">
      <w:pPr>
        <w:jc w:val="center"/>
      </w:pPr>
      <w:r>
        <w:rPr>
          <w:noProof/>
          <w:lang w:val="en-US"/>
        </w:rPr>
        <w:drawing>
          <wp:inline distT="0" distB="0" distL="0" distR="0">
            <wp:extent cx="1792605" cy="1239520"/>
            <wp:effectExtent l="0" t="0" r="0" b="0"/>
            <wp:docPr id="1" name="Picture 1" title="EESCLogo_C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74D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editId="15FE452D" wp14:anchorId="131133D6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260E65" w:rsidR="002C1DB1" w:rsidRDefault="002C1D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131133D6">
                <v:stroke joinstyle="miter"/>
                <v:path gradientshapeok="t" o:connecttype="rect"/>
              </v:shapetype>
              <v:shape id="Text Box 17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>
                <v:textbox>
                  <w:txbxContent>
                    <w:p w:rsidRPr="00260E65" w:rsidR="002C1DB1" w:rsidRDefault="002C1DB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CS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754BA9" w:rsidR="008C74D9" w:rsidP="00543904" w:rsidRDefault="008C74D9"/>
    <w:p w:rsidRPr="00754BA9" w:rsidR="00646AC2" w:rsidP="00543904" w:rsidRDefault="00FE5689">
      <w:pPr>
        <w:jc w:val="right"/>
      </w:pPr>
      <w:r>
        <w:rPr>
          <w:b/>
        </w:rPr>
        <w:t>INT/933</w:t>
      </w:r>
    </w:p>
    <w:p w:rsidRPr="00754BA9" w:rsidR="00563C84" w:rsidP="00543904" w:rsidRDefault="000D631B">
      <w:pPr>
        <w:jc w:val="right"/>
      </w:pPr>
      <w:r>
        <w:rPr>
          <w:b/>
        </w:rPr>
        <w:t>Digitální cíle do roku 2030</w:t>
      </w:r>
    </w:p>
    <w:p w:rsidRPr="00754BA9" w:rsidR="009B30AA" w:rsidP="00543904" w:rsidRDefault="009B30AA"/>
    <w:p w:rsidRPr="00754BA9" w:rsidR="009B30AA" w:rsidP="00543904" w:rsidRDefault="009B30AA"/>
    <w:p w:rsidRPr="00754BA9" w:rsidR="00BA65B1" w:rsidP="00543904" w:rsidRDefault="00F21F7E">
      <w:pPr>
        <w:jc w:val="center"/>
        <w:rPr>
          <w:b/>
        </w:rPr>
      </w:pPr>
      <w:r>
        <w:rPr>
          <w:b/>
          <w:sz w:val="28"/>
        </w:rPr>
        <w:t>STANOVISKO</w:t>
      </w:r>
      <w:r>
        <w:rPr>
          <w:b/>
          <w:sz w:val="28"/>
        </w:rPr>
        <w:br/>
      </w:r>
      <w:r>
        <w:rPr>
          <w:b/>
        </w:rPr>
        <w:br/>
      </w:r>
      <w:r>
        <w:t>Evropského hospodářského a sociálního výboru</w:t>
      </w:r>
      <w:r>
        <w:br/>
      </w:r>
      <w:r>
        <w:rPr>
          <w:b/>
        </w:rPr>
        <w:br/>
        <w:t>Sdělení Komise Evropskému parlamentu, Radě, Evropskému hospodářskému a sociálnímu výboru a Výboru regionů – Digitální kompas 2030: Evropské pojetí digitální dekády</w:t>
      </w:r>
    </w:p>
    <w:p w:rsidRPr="00754BA9" w:rsidR="00646AC2" w:rsidP="00543904" w:rsidRDefault="00563C84">
      <w:pPr>
        <w:jc w:val="center"/>
      </w:pPr>
      <w:r>
        <w:t>[COM(2021) 118 final]</w:t>
      </w:r>
    </w:p>
    <w:p w:rsidRPr="00754BA9" w:rsidR="009B30AA" w:rsidP="00543904" w:rsidRDefault="009B30AA">
      <w:pPr>
        <w:jc w:val="center"/>
      </w:pPr>
    </w:p>
    <w:p w:rsidRPr="00754BA9" w:rsidR="00704FBB" w:rsidP="00543904" w:rsidRDefault="007F5E0D">
      <w:pPr>
        <w:jc w:val="center"/>
        <w:rPr>
          <w:b/>
        </w:rPr>
      </w:pPr>
      <w:r>
        <w:t xml:space="preserve">Zpravodaj: </w:t>
      </w:r>
      <w:proofErr w:type="spellStart"/>
      <w:r>
        <w:rPr>
          <w:b/>
        </w:rPr>
        <w:t>Gonçalo</w:t>
      </w:r>
      <w:proofErr w:type="spellEnd"/>
      <w:r>
        <w:rPr>
          <w:b/>
        </w:rPr>
        <w:t xml:space="preserve"> LOBO XAVIER</w:t>
      </w:r>
    </w:p>
    <w:p w:rsidRPr="00754BA9" w:rsidR="00E32DC6" w:rsidP="00543904" w:rsidRDefault="00E32DC6"/>
    <w:p w:rsidRPr="00754BA9" w:rsidR="00E32DC6" w:rsidP="00543904" w:rsidRDefault="00E32DC6">
      <w:pPr>
        <w:sectPr w:rsidRPr="00754BA9" w:rsidR="00E32DC6" w:rsidSect="0054390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9"/>
          <w:pgMar w:top="1418" w:right="1418" w:bottom="1418" w:left="1418" w:header="709" w:footer="709" w:gutter="0"/>
          <w:pgNumType w:start="1"/>
          <w:cols w:space="720"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49"/>
        <w:gridCol w:w="5622"/>
      </w:tblGrid>
      <w:tr w:rsidRPr="00754BA9" w:rsidR="0011656A" w:rsidTr="009D4F49">
        <w:tc>
          <w:tcPr>
            <w:tcW w:w="3510" w:type="dxa"/>
          </w:tcPr>
          <w:p w:rsidRPr="00754BA9" w:rsidR="0011656A" w:rsidP="00543904" w:rsidRDefault="004A5738">
            <w:pPr>
              <w:jc w:val="left"/>
            </w:pPr>
            <w:r>
              <w:lastRenderedPageBreak/>
              <w:t>Žádost o vypracování stanoviska</w:t>
            </w:r>
          </w:p>
        </w:tc>
        <w:tc>
          <w:tcPr>
            <w:tcW w:w="5777" w:type="dxa"/>
          </w:tcPr>
          <w:p w:rsidRPr="00754BA9" w:rsidR="0011656A" w:rsidP="00543904" w:rsidRDefault="00BA65B1">
            <w:pPr>
              <w:jc w:val="left"/>
            </w:pPr>
            <w:r>
              <w:t>Evropská komise, 21/04/2021</w:t>
            </w:r>
          </w:p>
        </w:tc>
      </w:tr>
      <w:tr w:rsidRPr="00754BA9" w:rsidR="0016503F" w:rsidTr="009D4F49">
        <w:trPr>
          <w:trHeight w:val="251"/>
        </w:trPr>
        <w:tc>
          <w:tcPr>
            <w:tcW w:w="3510" w:type="dxa"/>
          </w:tcPr>
          <w:p w:rsidRPr="00754BA9" w:rsidR="0016503F" w:rsidP="00543904" w:rsidRDefault="0016503F">
            <w:pPr>
              <w:jc w:val="left"/>
            </w:pPr>
            <w:r>
              <w:t>Právní základ</w:t>
            </w:r>
          </w:p>
        </w:tc>
        <w:tc>
          <w:tcPr>
            <w:tcW w:w="5777" w:type="dxa"/>
          </w:tcPr>
          <w:p w:rsidRPr="00754BA9" w:rsidR="0016503F" w:rsidP="00543904" w:rsidRDefault="0016503F">
            <w:pPr>
              <w:jc w:val="left"/>
            </w:pPr>
            <w:r>
              <w:t>článek 304 Smlouvy o fungování Evropské unie</w:t>
            </w:r>
          </w:p>
        </w:tc>
      </w:tr>
      <w:tr w:rsidRPr="00754BA9" w:rsidR="0016503F" w:rsidTr="009D4F49">
        <w:trPr>
          <w:trHeight w:val="250"/>
        </w:trPr>
        <w:tc>
          <w:tcPr>
            <w:tcW w:w="3510" w:type="dxa"/>
          </w:tcPr>
          <w:p w:rsidRPr="00754BA9" w:rsidR="0016503F" w:rsidP="00543904" w:rsidRDefault="0016503F">
            <w:pPr>
              <w:jc w:val="left"/>
            </w:pPr>
          </w:p>
        </w:tc>
        <w:tc>
          <w:tcPr>
            <w:tcW w:w="5777" w:type="dxa"/>
          </w:tcPr>
          <w:p w:rsidRPr="00754BA9" w:rsidR="0016503F" w:rsidP="00543904" w:rsidRDefault="0016503F">
            <w:pPr>
              <w:jc w:val="left"/>
            </w:pPr>
          </w:p>
        </w:tc>
      </w:tr>
      <w:tr w:rsidRPr="00754BA9" w:rsidR="00DF5B64" w:rsidTr="009D4F49">
        <w:tc>
          <w:tcPr>
            <w:tcW w:w="3510" w:type="dxa"/>
          </w:tcPr>
          <w:p w:rsidRPr="00754BA9" w:rsidR="00DF5B64" w:rsidP="00543904" w:rsidRDefault="00AD4B4F">
            <w:pPr>
              <w:jc w:val="left"/>
            </w:pPr>
            <w:r>
              <w:t>Odpovědná sekce</w:t>
            </w:r>
          </w:p>
        </w:tc>
        <w:tc>
          <w:tcPr>
            <w:tcW w:w="5777" w:type="dxa"/>
          </w:tcPr>
          <w:p w:rsidRPr="00754BA9" w:rsidR="00DF5B64" w:rsidP="00543904" w:rsidRDefault="00BA65B1">
            <w:pPr>
              <w:jc w:val="left"/>
            </w:pPr>
            <w:r>
              <w:t>Jednotný trh, výroba a spotřeba</w:t>
            </w:r>
          </w:p>
        </w:tc>
      </w:tr>
      <w:tr w:rsidRPr="00754BA9" w:rsidR="00A156E6" w:rsidTr="009D4F49">
        <w:tc>
          <w:tcPr>
            <w:tcW w:w="3510" w:type="dxa"/>
          </w:tcPr>
          <w:p w:rsidRPr="00754BA9" w:rsidR="00A156E6" w:rsidP="00543904" w:rsidRDefault="00A156E6">
            <w:pPr>
              <w:jc w:val="left"/>
            </w:pPr>
            <w:r>
              <w:t>Přijato v sekci</w:t>
            </w:r>
          </w:p>
        </w:tc>
        <w:tc>
          <w:tcPr>
            <w:tcW w:w="5777" w:type="dxa"/>
          </w:tcPr>
          <w:p w:rsidRPr="00754BA9" w:rsidR="00A156E6" w:rsidP="00543904" w:rsidRDefault="007D4DB8">
            <w:pPr>
              <w:jc w:val="left"/>
            </w:pPr>
            <w:r>
              <w:t>15/06/2021</w:t>
            </w:r>
          </w:p>
        </w:tc>
      </w:tr>
      <w:tr w:rsidRPr="00754BA9" w:rsidR="00A156E6" w:rsidTr="009D4F49">
        <w:tc>
          <w:tcPr>
            <w:tcW w:w="3510" w:type="dxa"/>
          </w:tcPr>
          <w:p w:rsidRPr="00754BA9" w:rsidR="00A156E6" w:rsidP="00543904" w:rsidRDefault="00A156E6">
            <w:pPr>
              <w:jc w:val="left"/>
            </w:pPr>
            <w:r>
              <w:t>Přijato na plenárním zasedání</w:t>
            </w:r>
          </w:p>
        </w:tc>
        <w:tc>
          <w:tcPr>
            <w:tcW w:w="5777" w:type="dxa"/>
          </w:tcPr>
          <w:p w:rsidRPr="00754BA9" w:rsidR="00A156E6" w:rsidP="00543904" w:rsidRDefault="00FB6A3A">
            <w:pPr>
              <w:jc w:val="left"/>
            </w:pPr>
            <w:r>
              <w:t>07/07/2021</w:t>
            </w:r>
          </w:p>
        </w:tc>
      </w:tr>
      <w:tr w:rsidRPr="00754BA9" w:rsidR="00BA1290" w:rsidTr="009D4F49">
        <w:tc>
          <w:tcPr>
            <w:tcW w:w="3510" w:type="dxa"/>
          </w:tcPr>
          <w:p w:rsidRPr="00754BA9" w:rsidR="00BA1290" w:rsidP="00543904" w:rsidRDefault="00BA1290">
            <w:pPr>
              <w:jc w:val="left"/>
            </w:pPr>
            <w:r>
              <w:t>Plenární zasedání č.</w:t>
            </w:r>
          </w:p>
        </w:tc>
        <w:tc>
          <w:tcPr>
            <w:tcW w:w="5777" w:type="dxa"/>
          </w:tcPr>
          <w:p w:rsidRPr="00754BA9" w:rsidR="00BA1290" w:rsidP="00543904" w:rsidRDefault="00FB6A3A">
            <w:pPr>
              <w:jc w:val="left"/>
            </w:pPr>
            <w:r>
              <w:t>562</w:t>
            </w:r>
          </w:p>
        </w:tc>
      </w:tr>
      <w:tr w:rsidRPr="00754BA9" w:rsidR="00A156E6" w:rsidTr="009D4F49">
        <w:tc>
          <w:tcPr>
            <w:tcW w:w="3510" w:type="dxa"/>
          </w:tcPr>
          <w:p w:rsidRPr="00754BA9" w:rsidR="00D423D4" w:rsidP="00543904" w:rsidRDefault="009D4F49">
            <w:pPr>
              <w:jc w:val="left"/>
            </w:pPr>
            <w:r>
              <w:t>Výsledek hlasování</w:t>
            </w:r>
            <w:r w:rsidR="0043024C">
              <w:br/>
              <w:t>(pro/proti/zdrželi se hlasování)</w:t>
            </w:r>
          </w:p>
        </w:tc>
        <w:tc>
          <w:tcPr>
            <w:tcW w:w="5777" w:type="dxa"/>
            <w:vAlign w:val="bottom"/>
          </w:tcPr>
          <w:p w:rsidRPr="00754BA9" w:rsidR="00A156E6" w:rsidP="00543904" w:rsidRDefault="00136475">
            <w:pPr>
              <w:jc w:val="left"/>
            </w:pPr>
            <w:r>
              <w:t>20</w:t>
            </w:r>
            <w:r w:rsidR="00E62E30">
              <w:t>7</w:t>
            </w:r>
            <w:r>
              <w:t>/0/3</w:t>
            </w:r>
          </w:p>
        </w:tc>
      </w:tr>
    </w:tbl>
    <w:p w:rsidRPr="00754BA9" w:rsidR="0090053A" w:rsidP="00543904" w:rsidRDefault="0090053A"/>
    <w:p w:rsidRPr="00754BA9" w:rsidR="00646AC2" w:rsidP="00543904" w:rsidRDefault="00646AC2">
      <w:r>
        <w:br w:type="page"/>
      </w:r>
    </w:p>
    <w:p w:rsidRPr="00754BA9" w:rsidR="00011D33" w:rsidP="00543904" w:rsidRDefault="00011D33">
      <w:pPr>
        <w:pStyle w:val="Heading1"/>
        <w:keepNext/>
        <w:rPr>
          <w:b/>
        </w:rPr>
      </w:pPr>
      <w:r>
        <w:rPr>
          <w:b/>
        </w:rPr>
        <w:lastRenderedPageBreak/>
        <w:t>Závěry a doporučení</w:t>
      </w:r>
    </w:p>
    <w:p w:rsidRPr="00754BA9" w:rsidR="00011D33" w:rsidP="00543904" w:rsidRDefault="00011D33">
      <w:pPr>
        <w:keepNext/>
      </w:pPr>
    </w:p>
    <w:p w:rsidRPr="00754BA9" w:rsidR="002D4F1D" w:rsidP="00543904" w:rsidRDefault="002D4F1D">
      <w:pPr>
        <w:pStyle w:val="Heading2"/>
        <w:ind w:left="567" w:hanging="567"/>
      </w:pPr>
      <w:r>
        <w:t xml:space="preserve">Plán Evropské komise Digitální kompas 2030 přichází v okamžiku, který je kritický pro Unii </w:t>
      </w:r>
      <w:r w:rsidR="003909FB">
        <w:t>i </w:t>
      </w:r>
      <w:r>
        <w:t>pro celý svět. EHSV tuto iniciativu vítá, stejně jako cíl využívat digitální technologie ke zlepšení života občanů, vytváření dalších pracovních míst, usnadnění pokroku a posílení evropské konkurenceschopnosti. Pandemie zdůraznila význam a možnosti digitálního rozvoje, zdůraznila nezbytnost úprav a změnila způsoby naší socializace a práce. EU musí tyto výzvy řádným způsobem řešit. K tomu, aby se záměry mohly přeměnit ve výsledky, je nezbytné mít strategii, plán s konkrétními cíli a způsob, jak měřit pokrok.</w:t>
      </w:r>
    </w:p>
    <w:p w:rsidRPr="00754BA9" w:rsidR="00687720" w:rsidP="00543904" w:rsidRDefault="00687720">
      <w:pPr>
        <w:ind w:left="567" w:hanging="567"/>
      </w:pPr>
    </w:p>
    <w:p w:rsidRPr="00754BA9" w:rsidR="00687720" w:rsidP="00543904" w:rsidRDefault="00687720">
      <w:pPr>
        <w:pStyle w:val="Heading2"/>
        <w:ind w:left="567" w:hanging="567"/>
      </w:pPr>
      <w:r>
        <w:t>EHSV je přesvědčen o tom, že digitální inovace musí vždy chránit základní práva a zaručit každému člověku zdraví, bezpečnost a soukromí (ochranu osobních údajů). Je zásadní, aby občané vnímali, že vývoj a růst mají pozitivní dopad na kvalitu jejich života. Účinky nových technologií, které podporují náš každodenní život, musí být dobře a spravedlivě rozloženy, aby mohly skutečně prospívat společnosti. Přednost musí mít vždy právo na zdraví, které musí být zakotveno v katalogu základních práv digitálního občanství.</w:t>
      </w:r>
    </w:p>
    <w:p w:rsidRPr="00754BA9" w:rsidR="00687720" w:rsidP="00543904" w:rsidRDefault="00687720">
      <w:pPr>
        <w:ind w:left="567" w:hanging="567"/>
      </w:pPr>
    </w:p>
    <w:p w:rsidRPr="00754BA9" w:rsidR="00687720" w:rsidP="00543904" w:rsidRDefault="00687720">
      <w:pPr>
        <w:pStyle w:val="Heading2"/>
        <w:ind w:left="567" w:hanging="567"/>
      </w:pPr>
      <w:r>
        <w:t>EHSV poukazuje na to, že je nutné obnovit důvěru veřejnosti a zlepšit kybernetickou bezpečnost a kybernetickou odolnost prostřednictvím „bezpečnosti již od fáze návrhu“ v celém digitálním hodnotovém řetězci, poskytnout lidem lepší výběr a kontrolu nad jejich údaji (tzv.</w:t>
      </w:r>
      <w:r w:rsidR="0027288A">
        <w:t> </w:t>
      </w:r>
      <w:r>
        <w:t xml:space="preserve">etika údajů) </w:t>
      </w:r>
      <w:r w:rsidR="00543904">
        <w:t>a </w:t>
      </w:r>
      <w:r>
        <w:t>stanovit odpovědnost zprostředkovatelů v boji proti nezákonnému a</w:t>
      </w:r>
      <w:r w:rsidR="0027288A">
        <w:t> </w:t>
      </w:r>
      <w:r>
        <w:t>škodlivému obsahu.</w:t>
      </w:r>
    </w:p>
    <w:p w:rsidRPr="00754BA9" w:rsidR="00687720" w:rsidP="00543904" w:rsidRDefault="00687720">
      <w:pPr>
        <w:ind w:left="567" w:hanging="567"/>
      </w:pPr>
    </w:p>
    <w:p w:rsidRPr="00754BA9" w:rsidR="00897757" w:rsidP="00543904" w:rsidRDefault="00897757">
      <w:pPr>
        <w:pStyle w:val="Heading2"/>
        <w:ind w:left="567" w:hanging="567"/>
      </w:pPr>
      <w:r>
        <w:t>On-line dostupnost všech klíčových evropských a vnitrostátních veřejných služeb je odůvodněným cílem. EHSV nicméně varuje, že nikdo nesmí být opomenut a že je nezbytné podporovat ty, kteří nemohou mít z procesu digitalizace okamžitý prospěch. Stále existuje významná skupina občanů, kteří nemají znalosti a dovednosti, a dokonce ani potřebný hardware a software, aby mohli tyto možnosti využívat. EHSV vyzývá Komisi, aby podporovala ty, kteří procházejí procesem transformace.</w:t>
      </w:r>
    </w:p>
    <w:p w:rsidRPr="00754BA9" w:rsidR="00085704" w:rsidP="00543904" w:rsidRDefault="00085704">
      <w:pPr>
        <w:ind w:left="567" w:hanging="567"/>
      </w:pPr>
    </w:p>
    <w:p w:rsidRPr="00754BA9" w:rsidR="002D4F1D" w:rsidP="00543904" w:rsidRDefault="002D4F1D">
      <w:pPr>
        <w:pStyle w:val="Heading2"/>
        <w:ind w:left="567" w:hanging="567"/>
      </w:pPr>
      <w:r>
        <w:t xml:space="preserve">EHSV poukazuje na obrovské riziko znevýhodnění při učení, které může vyplývat </w:t>
      </w:r>
      <w:r w:rsidR="003909FB">
        <w:t>z </w:t>
      </w:r>
      <w:r>
        <w:t xml:space="preserve">nevyvážených investic. Je třeba mít na paměti dopady, které může mít digitální chudoba na lidi, od dětí až po seniory, a proto je třeba přednostně věnovat zvláštní pozornost skutečným rizikům. V zájmu snížení rozdílů musí investice do infrastruktury probíhat současně </w:t>
      </w:r>
      <w:r w:rsidR="003909FB">
        <w:t>s </w:t>
      </w:r>
      <w:r w:rsidR="00754085">
        <w:t>investicemi do odborné přípravy.</w:t>
      </w:r>
    </w:p>
    <w:p w:rsidRPr="00754BA9" w:rsidR="00FD5FF3" w:rsidP="00543904" w:rsidRDefault="00FD5FF3">
      <w:pPr>
        <w:ind w:left="567" w:hanging="567"/>
      </w:pPr>
    </w:p>
    <w:p w:rsidRPr="00754BA9" w:rsidR="00FD5FF3" w:rsidP="00543904" w:rsidRDefault="0037336E">
      <w:pPr>
        <w:pStyle w:val="Heading2"/>
        <w:ind w:left="567" w:hanging="567"/>
      </w:pPr>
      <w:r>
        <w:t xml:space="preserve">EHSV zdůrazňuje, že je třeba lidem pomáhat prohlubovat dovednosti a měnit kvalifikaci. To by se mělo uskutečňovat vytvářením rovných příležitostí díky posilování partnerství veřejného </w:t>
      </w:r>
      <w:r w:rsidR="003909FB">
        <w:t>a </w:t>
      </w:r>
      <w:r>
        <w:t>soukromého sektoru pro prohlubování dovedností a změnu kvalifikace (jak stávajících pracovních sil, tak dospělých účastníků vzdělávání), čímž se podpoří přístup k celoživotnímu učení pro všechny.</w:t>
      </w:r>
    </w:p>
    <w:p w:rsidRPr="00754BA9" w:rsidR="00687720" w:rsidP="00543904" w:rsidRDefault="00687720">
      <w:pPr>
        <w:ind w:left="567" w:hanging="567"/>
      </w:pPr>
    </w:p>
    <w:p w:rsidRPr="00754BA9" w:rsidR="00FD5FF3" w:rsidP="00543904" w:rsidRDefault="0037336E">
      <w:pPr>
        <w:pStyle w:val="Heading2"/>
        <w:keepNext/>
        <w:keepLines/>
        <w:ind w:left="567" w:hanging="567"/>
      </w:pPr>
      <w:r>
        <w:lastRenderedPageBreak/>
        <w:t>EHSV se domnívá, že digitální společnost vyžaduje modernizaci vzdělávání. Je nezbytné podporovat digitalizaci vzdělávacích systémů prostřednictvím aktualizací vzdělávacího obsahu tak, aby odpovídal digitální éře, a vytvářet veřejně-soukromé ekosystémy s cílem zavádět nové metodiky vzdělávání, které budou otevřené a přístupné tak, aby poskytovaly stejné příležitosti všem.</w:t>
      </w:r>
    </w:p>
    <w:p w:rsidRPr="00754BA9" w:rsidR="009F0EFA" w:rsidP="00543904" w:rsidRDefault="009F0EFA"/>
    <w:p w:rsidRPr="00754BA9" w:rsidR="009F0EFA" w:rsidP="00543904" w:rsidRDefault="009F0EFA">
      <w:pPr>
        <w:pStyle w:val="Heading2"/>
        <w:ind w:left="567" w:hanging="567"/>
      </w:pPr>
      <w:r>
        <w:t>Digitální vývoj s sebou přináší rizika, jako jsou podvody, narušení soukromí a nedostatečná transparentnost, které by mohla ohrozit cíle stanovené v dokumentu Komise. EHSV se domnívá, že je třeba vytvořit podmínky, které umožní těmto rizikům předcházet a řídit odpovědnost na úrovni EU.</w:t>
      </w:r>
    </w:p>
    <w:p w:rsidRPr="00754BA9" w:rsidR="009F0EFA" w:rsidP="00543904" w:rsidRDefault="009F0EFA"/>
    <w:p w:rsidRPr="00754BA9" w:rsidR="001524B0" w:rsidP="00543904" w:rsidRDefault="001524B0">
      <w:pPr>
        <w:pStyle w:val="Heading2"/>
        <w:ind w:left="567" w:hanging="567"/>
      </w:pPr>
      <w:r>
        <w:t xml:space="preserve">EHSV zdůrazňuje, že je třeba promyslet strategie řešení možné ztráty pracovních míst způsobené technologiemi. Jak Výbor uvedl ve svých předchozích stanoviscích, je jasné, že umělá inteligence a robotika nahradí a přemění pracovní místa, některá z nich při tom zmizí </w:t>
      </w:r>
      <w:r w:rsidR="003909FB">
        <w:t>a </w:t>
      </w:r>
      <w:r>
        <w:t xml:space="preserve">jiná vzniknou. EU musí v každém případě zajistit, aby všichni pracovníci, ať už zaměstnanci, osoby samostatně výdělečně činné, nebo zdánlivě </w:t>
      </w:r>
      <w:proofErr w:type="spellStart"/>
      <w:r>
        <w:t>sebezaměstnaní</w:t>
      </w:r>
      <w:proofErr w:type="spellEnd"/>
      <w:r>
        <w:t xml:space="preserve">, měli přístup k sociální ochraně v souladu </w:t>
      </w:r>
      <w:r w:rsidR="00543904">
        <w:t>s </w:t>
      </w:r>
      <w:r>
        <w:t xml:space="preserve">evropským souborem sociálních práv. Je třeba podporovat sociální dialog </w:t>
      </w:r>
      <w:r w:rsidR="003909FB">
        <w:t>o </w:t>
      </w:r>
      <w:r>
        <w:t>těchto otázkách na všech úrovních, přičemž prioritou musí být sladění povinností a práv se současnou digitální ekonomikou a ekonomikou založenou na platformách.</w:t>
      </w:r>
    </w:p>
    <w:p w:rsidRPr="00754BA9" w:rsidR="001524B0" w:rsidP="00543904" w:rsidRDefault="001524B0">
      <w:pPr>
        <w:ind w:left="567" w:hanging="567"/>
      </w:pPr>
    </w:p>
    <w:p w:rsidRPr="00754BA9" w:rsidR="001524B0" w:rsidP="00543904" w:rsidRDefault="00CD0340">
      <w:pPr>
        <w:pStyle w:val="Heading2"/>
        <w:ind w:left="567" w:hanging="567"/>
      </w:pPr>
      <w:r>
        <w:t>EHSV se domnívá, že má-li být digitální transformace řízena inkluzivním a sociálně odpovědným způsobem a tak, aby bylo možné se vypořádat se ztrátou pracovních míst, zejména v období po skončení pandemie COVID-19, musí být jednou z priorit evropský fond financovaný zejména prostřednictvím zdanění největších technologických podniků. Jeho cílem je pomoci pracovníkům, kteří přijdou o své zaměstnání a podnikání v důsledku digitalizace hospodářství, prostřednictvím řádné odborné přípravy, prohloubení dovedností a změny kvalifikace.</w:t>
      </w:r>
    </w:p>
    <w:p w:rsidRPr="00754BA9" w:rsidR="00687720" w:rsidP="00543904" w:rsidRDefault="00687720">
      <w:pPr>
        <w:ind w:left="567" w:hanging="567"/>
      </w:pPr>
    </w:p>
    <w:p w:rsidRPr="00754BA9" w:rsidR="003A292F" w:rsidP="00543904" w:rsidRDefault="00A31448">
      <w:pPr>
        <w:pStyle w:val="Heading2"/>
        <w:ind w:left="567" w:hanging="567"/>
      </w:pPr>
      <w:r>
        <w:t xml:space="preserve">EHSV žádá také koordinovanou politiku, která bude účinně zohledňovat výchozí pozici Evropy a bude odpovídat technologickým i společenským posunům, jichž jsme byli svědky </w:t>
      </w:r>
      <w:r w:rsidR="003909FB">
        <w:t>v </w:t>
      </w:r>
      <w:r>
        <w:t>posledních několika letech a které se ještě urychlily v důsledku pandemie: prvořadá je průmyslová strategie, včetně politiky hospodářské soutěže a odvětvových právních předpisů, zejména pro bezpečnou konektivitu.</w:t>
      </w:r>
    </w:p>
    <w:p w:rsidRPr="00754BA9" w:rsidR="00011D33" w:rsidP="00543904" w:rsidRDefault="00011D33"/>
    <w:p w:rsidRPr="00754BA9" w:rsidR="00011D33" w:rsidP="00543904" w:rsidRDefault="00011D33">
      <w:pPr>
        <w:pStyle w:val="Heading1"/>
        <w:keepNext/>
        <w:rPr>
          <w:b/>
        </w:rPr>
      </w:pPr>
      <w:r>
        <w:rPr>
          <w:b/>
        </w:rPr>
        <w:t>Obecné připomínky</w:t>
      </w:r>
    </w:p>
    <w:p w:rsidRPr="00754BA9" w:rsidR="00011D33" w:rsidP="00543904" w:rsidRDefault="00011D33">
      <w:pPr>
        <w:keepNext/>
      </w:pPr>
    </w:p>
    <w:p w:rsidRPr="00754BA9" w:rsidR="00465906" w:rsidP="00543904" w:rsidRDefault="00465906">
      <w:pPr>
        <w:pStyle w:val="Heading2"/>
        <w:ind w:left="567" w:hanging="567"/>
      </w:pPr>
      <w:r>
        <w:t>EHSV podporuje plán Evropské komise Digitální kompas 2030: Evropské pojetí digitální dekády jako součást širšího akčního plánu na podporu evropského hospodářství a sociálního oživení.</w:t>
      </w:r>
    </w:p>
    <w:p w:rsidRPr="00754BA9" w:rsidR="00465906" w:rsidP="00543904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465906" w:rsidP="00543904" w:rsidRDefault="00465906">
      <w:pPr>
        <w:pStyle w:val="Heading2"/>
        <w:ind w:left="567" w:hanging="567"/>
      </w:pPr>
      <w:r>
        <w:t>Krize způsobená onemocněním COVID-19 ukázala vysokou míru vnější závislosti na technologiích a datových procesech, kterou je třeba účinně a rychle řešit. Je třeba lépe využívat aktiva Evropy v těchto oblastech a více zapojit evropské občany.</w:t>
      </w:r>
    </w:p>
    <w:p w:rsidRPr="00754BA9" w:rsidR="00465906" w:rsidP="00543904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2D4F1D" w:rsidP="00543904" w:rsidRDefault="002D4F1D">
      <w:pPr>
        <w:pStyle w:val="Heading2"/>
        <w:keepNext/>
        <w:keepLines/>
        <w:ind w:left="567" w:hanging="567"/>
      </w:pPr>
      <w:r>
        <w:lastRenderedPageBreak/>
        <w:t xml:space="preserve">EHSV vyzdvihuje myšlenku, že žádný občan by neměl být opomenut. Digitální negramotnost je v Evropě stále vysoká – podle Komise 35 % – a je třeba zlepšit nedostatečný přístup </w:t>
      </w:r>
      <w:r w:rsidR="003909FB">
        <w:t>k </w:t>
      </w:r>
      <w:r>
        <w:t xml:space="preserve">digitálním zdrojům. V oblasti hospodářských a administrativních vztahů však musí být zaručen přístup </w:t>
      </w:r>
      <w:r w:rsidR="00543904">
        <w:t>k </w:t>
      </w:r>
      <w:r>
        <w:t>živým lidem. Je rovněž důležité zajistit, aby z výhod digitalizace netěžili pouze někteří. Digitální dekáda musí přinášet prospěch všem.</w:t>
      </w:r>
    </w:p>
    <w:p w:rsidRPr="00754BA9" w:rsidR="00465906" w:rsidP="00543904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465906" w:rsidP="00543904" w:rsidRDefault="00465906">
      <w:pPr>
        <w:pStyle w:val="Heading2"/>
        <w:ind w:left="567" w:hanging="567"/>
      </w:pPr>
      <w:r>
        <w:t>Evropské společnosti, zejména malé a střední podniky, je třeba v jejich úsilí o digitalizaci podporovat a musí jim být umožněno soutěžit v celosvětovém měřítku. Pokud EU vlastní nebo financuje výpočetní zdroje, jako jsou počítače s kvantovou akcelerací, musí být přístup k nim rozdělován spravedlivě, na základě objektivních kritérií.</w:t>
      </w:r>
    </w:p>
    <w:p w:rsidRPr="00754BA9" w:rsidR="00465906" w:rsidP="00543904" w:rsidRDefault="00465906">
      <w:pPr>
        <w:ind w:left="567" w:hanging="567"/>
      </w:pPr>
    </w:p>
    <w:p w:rsidRPr="00754BA9" w:rsidR="002D4F1D" w:rsidP="00543904" w:rsidRDefault="002D4F1D">
      <w:pPr>
        <w:pStyle w:val="Heading2"/>
        <w:ind w:left="567" w:hanging="567"/>
      </w:pPr>
      <w:r>
        <w:t xml:space="preserve">Ambice a veřejné prostředky však samy o sobě nepřinesou výsledky, o něž usilujeme. Potřebujeme také koordinovanou politiku, která bude účinně zohledňovat výchozí pozici Evropy a bude odpovídat technologickým i společenským posunům, jichž jsme byli svědky </w:t>
      </w:r>
      <w:r w:rsidR="003909FB">
        <w:t>v </w:t>
      </w:r>
      <w:r>
        <w:t>posledních několika letech a které se ještě urychlily v důsledku pandemie: prvořadá je průmyslová strategie, včetně politiky hospodářské soutěže a odvětvových právních předpisů, zejména pro bezpečnou konektivitu.</w:t>
      </w:r>
    </w:p>
    <w:p w:rsidRPr="00754BA9" w:rsidR="002D4F1D" w:rsidP="00543904" w:rsidRDefault="002D4F1D">
      <w:pPr>
        <w:ind w:left="567" w:hanging="567"/>
      </w:pPr>
    </w:p>
    <w:p w:rsidRPr="00754BA9" w:rsidR="00465906" w:rsidP="00543904" w:rsidRDefault="00465906">
      <w:pPr>
        <w:pStyle w:val="Heading2"/>
        <w:ind w:left="567" w:hanging="567"/>
      </w:pPr>
      <w:r>
        <w:t>EHSV vítá vizi rozvoje ekosystému digitálního vzdělávání a inovací a zdůrazňuje, že pro dosažení tohoto cíle je třeba využít špičkové evropské vědecké a akademické instituce.</w:t>
      </w:r>
    </w:p>
    <w:p w:rsidRPr="00754BA9" w:rsidR="00687720" w:rsidP="00543904" w:rsidRDefault="00687720">
      <w:pPr>
        <w:ind w:left="567" w:hanging="567"/>
      </w:pPr>
    </w:p>
    <w:p w:rsidRPr="00754BA9" w:rsidR="002D4F1D" w:rsidP="00543904" w:rsidRDefault="002D4F1D">
      <w:pPr>
        <w:pStyle w:val="Heading2"/>
        <w:ind w:left="567" w:hanging="567"/>
      </w:pPr>
      <w:r>
        <w:t>Je třeba posílit stávající spolupráci veřejného a soukromého sektoru a vytvořit více synergií, aby bylo možné zajistit novou digitální dohodu založenou na modelu správy, který kombinuje sociální, environmentální a hospodářské aspekty v zájmu dosažení dlouhodobě udržitelné, spravedlivé a inkluzivní digitální transformace.</w:t>
      </w:r>
    </w:p>
    <w:p w:rsidRPr="00754BA9" w:rsidR="002D4F1D" w:rsidP="00543904" w:rsidRDefault="002D4F1D"/>
    <w:p w:rsidRPr="00754BA9" w:rsidR="003A7034" w:rsidP="00543904" w:rsidRDefault="002D4F1D">
      <w:pPr>
        <w:pStyle w:val="Heading2"/>
        <w:ind w:left="567" w:hanging="567"/>
      </w:pPr>
      <w:r>
        <w:t>EHSV zdůrazňuje, že je třeba promyslet strategie řešení možné ztráty pracovních míst způsobené technologiemi. Jak Výbor uvedl ve svých předchozích stanoviscích</w:t>
      </w:r>
      <w:r w:rsidRPr="00754BA9">
        <w:rPr>
          <w:rStyle w:val="FootnoteReference"/>
        </w:rPr>
        <w:footnoteReference w:id="1"/>
      </w:r>
      <w:r>
        <w:t xml:space="preserve">, je jasné, že umělá inteligence a robotika nahradí a přemění pracovní místa, některá z nich při tom zmizí </w:t>
      </w:r>
      <w:r w:rsidR="003909FB">
        <w:t>a </w:t>
      </w:r>
      <w:r>
        <w:t xml:space="preserve">jiná vzniknou. EU musí v každém případě zajistit, aby všichni pracovníci, ať už zaměstnanci, osoby samostatně výdělečně činné, nebo zdánlivě </w:t>
      </w:r>
      <w:proofErr w:type="spellStart"/>
      <w:r>
        <w:t>sebezaměstnaní</w:t>
      </w:r>
      <w:proofErr w:type="spellEnd"/>
      <w:r>
        <w:t xml:space="preserve">, měli přístup k sociální ochraně </w:t>
      </w:r>
      <w:r w:rsidR="00543904">
        <w:t>v </w:t>
      </w:r>
      <w:r>
        <w:t xml:space="preserve">souladu s evropským souborem sociálních práv. Je třeba podporovat sociální dialog </w:t>
      </w:r>
      <w:r w:rsidR="003909FB">
        <w:t>o </w:t>
      </w:r>
      <w:r>
        <w:t xml:space="preserve">těchto otázkách na všech úrovních. Měla by být přijata a koordinována opatření na podporu propuštěných osob, která by mohla být financována prostřednictvím unijní daně pro společnosti, které mají z digitální ekonomiky největší prospěch. </w:t>
      </w:r>
    </w:p>
    <w:p w:rsidRPr="00754BA9" w:rsidR="003A7034" w:rsidP="00543904" w:rsidRDefault="003A7034"/>
    <w:p w:rsidRPr="00754BA9" w:rsidR="0014073E" w:rsidP="00543904" w:rsidRDefault="002D4F1D">
      <w:pPr>
        <w:pStyle w:val="Heading2"/>
        <w:ind w:left="567" w:hanging="567"/>
      </w:pPr>
      <w:r>
        <w:t>Nesmí být opomíjena úloha rizikového kapitálu, akciových trhů a soukromých investic obecně. Motorem technologického rozvoje v Evropě budou soukromé společnosti a EU bude schopna konkurovat v celosvětovém měřítku pouze tehdy, zůstane-li pro tyto investice vstřícným místem. To vše musí probíhat při náležitém dodržování sociálních norem.</w:t>
      </w:r>
    </w:p>
    <w:p w:rsidRPr="00754BA9" w:rsidR="00465906" w:rsidP="00543904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2D4F1D" w:rsidP="00543904" w:rsidRDefault="002D4F1D">
      <w:pPr>
        <w:pStyle w:val="Heading2"/>
        <w:keepNext/>
        <w:keepLines/>
        <w:ind w:left="567" w:hanging="567"/>
      </w:pPr>
      <w:r>
        <w:lastRenderedPageBreak/>
        <w:t xml:space="preserve">Ambiciózní cíle v oblasti konektivity by měly jít ruku v ruce se závazkem vytvoření příznivějšího regulačního rámce podporujícího soukromé investice do síťové infrastruktury. Bude velmi důležité sladit průmyslovou strategii EU a vizi vedoucího postavení Evropy </w:t>
      </w:r>
      <w:r w:rsidR="003909FB">
        <w:t>v </w:t>
      </w:r>
      <w:r>
        <w:t>oblasti digitální konektivity s politikou hospodářské soutěže a regulační praxí v odvětví telekomunikací.</w:t>
      </w:r>
    </w:p>
    <w:p w:rsidRPr="00754BA9" w:rsidR="00465906" w:rsidP="00543904" w:rsidRDefault="00465906">
      <w:pPr>
        <w:ind w:left="567" w:hanging="567"/>
      </w:pPr>
    </w:p>
    <w:p w:rsidRPr="00754BA9" w:rsidR="00C1215E" w:rsidP="00543904" w:rsidRDefault="00C1215E">
      <w:pPr>
        <w:pStyle w:val="Heading2"/>
        <w:ind w:left="567" w:hanging="567"/>
      </w:pPr>
      <w:r>
        <w:t xml:space="preserve">Plán digitální dekády stanoví plány, podle nichž by Evropa měla rozvinout „svoji vlastní </w:t>
      </w:r>
      <w:proofErr w:type="spellStart"/>
      <w:r>
        <w:t>cloudovou</w:t>
      </w:r>
      <w:proofErr w:type="spellEnd"/>
      <w:r>
        <w:t xml:space="preserve"> infrastrukturu a kapacity“ s cílem zabránit tomu, aby byla data produkovaná </w:t>
      </w:r>
      <w:r w:rsidR="003909FB">
        <w:t>v </w:t>
      </w:r>
      <w:r>
        <w:t xml:space="preserve">Evropě přesouvána do zahraničí, což je v současné době případ více než 90 % evropských dat. Evropa nesmí být naivní a musí pokračovat ve svém boji o větší nezávislost a o uchovávání údajů svých občanů, zejména citlivých údajů, v rámci svých hranic. V tomto ohledu je cíl plánu digitální dekády dosáhnout 10 000 vysoce bezpečných, klimaticky neutrálních datových </w:t>
      </w:r>
      <w:r w:rsidR="003909FB">
        <w:t>a </w:t>
      </w:r>
      <w:proofErr w:type="spellStart"/>
      <w:r>
        <w:t>cloudových</w:t>
      </w:r>
      <w:proofErr w:type="spellEnd"/>
      <w:r>
        <w:t xml:space="preserve"> uzlů, krokem správným směrem. Projekt GAIA X musí být urychlen a neprodleně uveden do provozu. </w:t>
      </w:r>
    </w:p>
    <w:p w:rsidRPr="00754BA9" w:rsidR="00465906" w:rsidP="00543904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465906" w:rsidP="00543904" w:rsidRDefault="00465906">
      <w:pPr>
        <w:pStyle w:val="Heading2"/>
        <w:ind w:left="567" w:hanging="567"/>
      </w:pPr>
      <w:r>
        <w:t xml:space="preserve">EHSV souhlasí s myšlenkou podpory evropského technologického odvětví s cílem snížit závislost na amerických a čínských technologických gigantech a dohnat pokrok v oblastech, jako je např. zavádění sítí 5G, výroba čipů a zpracování dat, ale varuje před přístupem protekcionistické ekonomiky založené na datech v Evropě. Je třeba podporovat mezinárodní partnerství </w:t>
      </w:r>
      <w:r w:rsidR="00543904">
        <w:t>a </w:t>
      </w:r>
      <w:r>
        <w:t>spolupráci.</w:t>
      </w:r>
    </w:p>
    <w:p w:rsidRPr="00754BA9" w:rsidR="00465906" w:rsidP="00543904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C1215E" w:rsidP="00543904" w:rsidRDefault="002D4F1D">
      <w:pPr>
        <w:pStyle w:val="Heading2"/>
        <w:ind w:left="567" w:hanging="567"/>
      </w:pPr>
      <w:r>
        <w:t>K dosažení těchto cílů bude muset být do roku 2030 v příslušných oblastech činnosti zaměstnáno 20 milionů odborníků na technologie, oprot</w:t>
      </w:r>
      <w:r w:rsidR="0027288A">
        <w:t>i současným 7,8 milionu. V roce </w:t>
      </w:r>
      <w:r>
        <w:t xml:space="preserve">2019 tvořily ženy pouze 18 % ze 7,8 milionu pracovníků v oblasti IKT. Rozmanitost v digitálních odvětvích má zásadní význam a pomůže utvářet vizi světa a jeho výzvy, konkrétně snížit riziko předpojatosti. Je třeba pečlivě sledovat cíl dosažení vyváženějšího zastoupení žen a mužů </w:t>
      </w:r>
      <w:r w:rsidR="003909FB">
        <w:t>a </w:t>
      </w:r>
      <w:r>
        <w:t xml:space="preserve">podporovat vstup žen do oborů STEM. Sociální dialog by měl být podporován na všech úrovních (podnikové, odvětvové i vnitrostátní), neboť může přispět k dosažení tohoto cíle. </w:t>
      </w:r>
      <w:r w:rsidR="003909FB">
        <w:t>V </w:t>
      </w:r>
      <w:r>
        <w:t>členských státech by měly být podporovány silné kampaně, počínaje základními školami, zaměřené na povzbuzení mladých dívek k volbě vědeckých a technických oborů. Velkou výzvou je digitální propast. V řadě venkovských oblastí nejsou ještě k dispozici ani sítě 3G. Evropa a členské státy by měly poskytovat pobídky na podporu investic ve venkovských oblastech, aby žádný občan nezůstal opomenut.</w:t>
      </w:r>
    </w:p>
    <w:p w:rsidRPr="00754BA9" w:rsidR="00465906" w:rsidP="00543904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C1215E" w:rsidP="00543904" w:rsidRDefault="00C1215E">
      <w:pPr>
        <w:pStyle w:val="Heading2"/>
        <w:ind w:left="567" w:hanging="567"/>
      </w:pPr>
      <w:r>
        <w:t>Tyto investice by mohly podpořit územní soudržnost a regionální rozvoj, a lidem, kteří si to budou přát, by mohly umožnit vést plnohodnotnější život mimo velká městská centra (tzv.</w:t>
      </w:r>
      <w:r w:rsidR="0027288A">
        <w:t> </w:t>
      </w:r>
      <w:r>
        <w:t xml:space="preserve">„inteligentní vesnice“, o nichž se mluví ve sdělení). Práce na dálku musí být rozvíjena prostřednictvím sociálního dialogu a kolektivního vyjednávání na všech úrovních, tak aby bylo chráněno zdraví </w:t>
      </w:r>
      <w:r w:rsidR="00543904">
        <w:t>a </w:t>
      </w:r>
      <w:r>
        <w:t>dobré životní podmínky pracovníků.</w:t>
      </w:r>
    </w:p>
    <w:p w:rsidRPr="00754BA9" w:rsidR="00011D33" w:rsidP="00543904" w:rsidRDefault="00011D33">
      <w:pPr>
        <w:ind w:left="567" w:hanging="567"/>
      </w:pPr>
    </w:p>
    <w:p w:rsidRPr="00754BA9" w:rsidR="00465906" w:rsidP="00543904" w:rsidRDefault="00465906">
      <w:pPr>
        <w:pStyle w:val="Heading2"/>
        <w:ind w:left="567" w:hanging="567"/>
      </w:pPr>
      <w:r>
        <w:t xml:space="preserve">EHSV vybízí Evropskou komisi, aby pobídkami motivovala lidi ke stěhování mimo velké městské oblasti, a podporovala tak hospodářský a sociální rozvoj venkovských oblastí. Toho lze dosáhnout pouze tehdy, bude-li k dispozici potřebná infrastruktura, zejména telekomunikační </w:t>
      </w:r>
      <w:r w:rsidR="003909FB">
        <w:t>a </w:t>
      </w:r>
      <w:r>
        <w:t>dopravní.</w:t>
      </w:r>
    </w:p>
    <w:p w:rsidRPr="00754BA9" w:rsidR="00465906" w:rsidP="00543904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2D4F1D" w:rsidP="00543904" w:rsidRDefault="002D4F1D">
      <w:pPr>
        <w:pStyle w:val="Heading2"/>
        <w:keepNext/>
        <w:keepLines/>
        <w:ind w:left="567" w:hanging="567"/>
      </w:pPr>
      <w:r>
        <w:lastRenderedPageBreak/>
        <w:t>V příští dekádě bude třeba řešit velké problémy v oblasti životního prostředí, proto by měla veškerá opatření přijímaná v této souvislosti zohledňovat rovněž environmentální aspekt. Digitální kompas by měl být kromě toho využíván jako další nástroj, který pomůže splnit cíle Zelené dohody pro Evropu a snížit dopady na životní prostředí.</w:t>
      </w:r>
    </w:p>
    <w:p w:rsidRPr="00754BA9" w:rsidR="00465906" w:rsidP="00543904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2D4F1D" w:rsidP="00543904" w:rsidRDefault="002D4F1D">
      <w:pPr>
        <w:pStyle w:val="Heading2"/>
        <w:ind w:left="567" w:hanging="567"/>
      </w:pPr>
      <w:r>
        <w:t>Stejně tak musí být digitální technologie transparentní, inkluzivní, nediskriminační, spravedlivé a nestranné. To je o to důležitější, že se stále více digitalizují i veřejné služby. Podle Komise má dnes 65 % evropských občanů základní digitální dovedno</w:t>
      </w:r>
      <w:r w:rsidR="0027288A">
        <w:t>sti. Cílem je dosáhnout do roku </w:t>
      </w:r>
      <w:r>
        <w:t xml:space="preserve">2030 80 %. Otázka začlenění a podpory zbývajících 20 % lidí (tj. přibližně 90 milionů občanů v EU) má zásadní význam pro snížení chudoby a vyloučení. Tito občané patří obvykle mezi nejchudší a nejstarší a žijí ve venkovských oblastech. Jejich zranitelnost by se mohla ještě zvýšit </w:t>
      </w:r>
      <w:r w:rsidR="003909FB">
        <w:t>v </w:t>
      </w:r>
      <w:r>
        <w:t xml:space="preserve">souvislosti s veřejnými a soukromými službami, které se stále více digitalizují. EHSV zdůrazňuje, že v oblasti hospodářských a administrativních vztahů musí být zaručen přístup </w:t>
      </w:r>
      <w:r w:rsidR="003909FB">
        <w:t>k </w:t>
      </w:r>
      <w:r>
        <w:t>lidem.</w:t>
      </w:r>
    </w:p>
    <w:p w:rsidRPr="00754BA9" w:rsidR="00687720" w:rsidP="00543904" w:rsidRDefault="00687720">
      <w:pPr>
        <w:ind w:left="567" w:hanging="567"/>
      </w:pPr>
    </w:p>
    <w:p w:rsidRPr="00754BA9" w:rsidR="00C1215E" w:rsidP="00543904" w:rsidRDefault="002D4F1D">
      <w:pPr>
        <w:pStyle w:val="Heading2"/>
        <w:ind w:left="567" w:hanging="567"/>
      </w:pPr>
      <w:r>
        <w:t xml:space="preserve">EHSV plně podporuje cíl poskytovat všechny klíčové evropské veřejné služby on-line, přičemž plně digitalizována bude muset být rovněž lékařská dokumentace evropských občanů, neboť se očekává, že 80 % občanů bude používat digitální identitu. To však bude vyžadovat také koordinované úsilí a politickou vůli všech členských států. EHSV požaduje, aby byly do úsilí </w:t>
      </w:r>
      <w:r w:rsidR="003909FB">
        <w:t>o </w:t>
      </w:r>
      <w:r>
        <w:t>dosažení tohoto cíle zapojeny rovněž organizace občanské společnosti. Základní digitální vybavení pro veřejné služby by mělo být v zásadě bezplatné. Digitalizace veřejných služeb nesmí v žádném případě znamenat větší finanční překážky pro uživatele.</w:t>
      </w:r>
    </w:p>
    <w:p w:rsidRPr="00754BA9" w:rsidR="00465906" w:rsidP="00543904" w:rsidRDefault="00465906"/>
    <w:p w:rsidRPr="00754BA9" w:rsidR="00465906" w:rsidP="00543904" w:rsidRDefault="00465906">
      <w:pPr>
        <w:pStyle w:val="Heading1"/>
        <w:keepNext/>
      </w:pPr>
      <w:r>
        <w:rPr>
          <w:b/>
          <w:bCs/>
        </w:rPr>
        <w:t>Konkrétní připomínky</w:t>
      </w:r>
    </w:p>
    <w:p w:rsidRPr="00754BA9" w:rsidR="00465906" w:rsidP="00543904" w:rsidRDefault="00465906">
      <w:pPr>
        <w:keepNext/>
        <w:outlineLvl w:val="0"/>
      </w:pPr>
    </w:p>
    <w:p w:rsidRPr="00754BA9" w:rsidR="00465906" w:rsidP="00543904" w:rsidRDefault="00465906">
      <w:pPr>
        <w:pStyle w:val="Heading2"/>
        <w:ind w:left="567" w:hanging="567"/>
      </w:pPr>
      <w:r>
        <w:t xml:space="preserve">Vyšší míra digitalizace života vyžaduje zvláštní péči v oblasti kybernetické bezpečnosti </w:t>
      </w:r>
      <w:r w:rsidR="003909FB">
        <w:t>a </w:t>
      </w:r>
      <w:r>
        <w:t>náchylnosti k podvodům a je nezbytné v tomto ohledu vzdělávat občany. Předmětem zvláštního zájmu je regulace nositelných technologií, které je třeba věnovat mimořádnou pozornost.</w:t>
      </w:r>
    </w:p>
    <w:p w:rsidRPr="00754BA9" w:rsidR="00465906" w:rsidP="00543904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465906" w:rsidP="00543904" w:rsidRDefault="00465906">
      <w:pPr>
        <w:pStyle w:val="Heading2"/>
        <w:ind w:left="567" w:hanging="567"/>
      </w:pPr>
      <w:r>
        <w:t xml:space="preserve">Evropské právní předpisy týkající se digitální ekonomiky se rychle vyvíjejí. Občané a podniky musí být informováni o svých právech a povinnostech v digitální sféře. Je třeba neustále usilovat o konsolidaci legislativních iniciativ a o to, aby bylo právo srozumitelnější a snadněji použitelné pro občany a podniky. </w:t>
      </w:r>
    </w:p>
    <w:p w:rsidRPr="00754BA9" w:rsidR="00465906" w:rsidP="00543904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465906" w:rsidP="00543904" w:rsidRDefault="00465906">
      <w:pPr>
        <w:pStyle w:val="Heading2"/>
        <w:ind w:left="567" w:hanging="567"/>
      </w:pPr>
      <w:r>
        <w:t xml:space="preserve">EHSV vítá pravidelné monitorování cílů a systém správy a řízení navrhované ve sdělení </w:t>
      </w:r>
      <w:r w:rsidR="003909FB">
        <w:t>a </w:t>
      </w:r>
      <w:r>
        <w:t>konstatuje, že projekty pro více zemí mají zásadní význam pro naplnění stanovené vize.</w:t>
      </w:r>
    </w:p>
    <w:p w:rsidRPr="00754BA9" w:rsidR="00465906" w:rsidP="00543904" w:rsidRDefault="00465906">
      <w:pPr>
        <w:pStyle w:val="Heading2"/>
        <w:numPr>
          <w:ilvl w:val="0"/>
          <w:numId w:val="0"/>
        </w:numPr>
        <w:ind w:left="567" w:hanging="567"/>
      </w:pPr>
    </w:p>
    <w:p w:rsidRPr="00754BA9" w:rsidR="000218D2" w:rsidP="00543904" w:rsidRDefault="000218D2">
      <w:pPr>
        <w:pStyle w:val="Heading2"/>
        <w:ind w:left="567" w:hanging="567"/>
      </w:pPr>
      <w:r>
        <w:t xml:space="preserve">EHSV navrhuje, aby byly vypracovány případové studie k některým odvětvím v členských státech a třetích zemích s cílem zavést nebo podpořit na evropské úrovni osvědčené postupy. Měla by být podporována regulační pískoviště poskytující bezpečný prostor pro testování nových obchodních modelů a nápadů. Ambiciózní digitální ekonomika musí vytvořit agilní </w:t>
      </w:r>
      <w:r w:rsidR="003909FB">
        <w:t>a </w:t>
      </w:r>
      <w:r>
        <w:t>benevolentní testovací oblasti.</w:t>
      </w:r>
    </w:p>
    <w:p w:rsidRPr="00754BA9" w:rsidR="00085704" w:rsidP="00543904" w:rsidRDefault="00085704"/>
    <w:p w:rsidRPr="00754BA9" w:rsidR="00465906" w:rsidP="00543904" w:rsidRDefault="00465906">
      <w:pPr>
        <w:pStyle w:val="Heading1"/>
        <w:keepNext/>
      </w:pPr>
      <w:r>
        <w:rPr>
          <w:b/>
        </w:rPr>
        <w:lastRenderedPageBreak/>
        <w:t>Obyvatelstvo s digitálními dovednostmi a vysoce kvalifikovaní odborníci v oblasti digitálních technologií</w:t>
      </w:r>
    </w:p>
    <w:p w:rsidRPr="00754BA9" w:rsidR="00465906" w:rsidP="00543904" w:rsidRDefault="00465906">
      <w:pPr>
        <w:pStyle w:val="Heading1"/>
        <w:keepNext/>
        <w:numPr>
          <w:ilvl w:val="0"/>
          <w:numId w:val="0"/>
        </w:numPr>
      </w:pPr>
    </w:p>
    <w:p w:rsidRPr="00754BA9" w:rsidR="00687720" w:rsidP="00543904" w:rsidRDefault="00085704">
      <w:pPr>
        <w:pStyle w:val="Heading2"/>
        <w:ind w:left="567" w:hanging="567"/>
      </w:pPr>
      <w:r>
        <w:t>EHSV podporuje cíl, aby bylo v oboru IKT zaměstnáno 20 milionů specialistů, přičemž se má sbližovat podíl žen a mužů</w:t>
      </w:r>
      <w:r w:rsidRPr="00754BA9">
        <w:rPr>
          <w:rStyle w:val="FootnoteReference"/>
        </w:rPr>
        <w:footnoteReference w:id="2"/>
      </w:r>
      <w:r>
        <w:t xml:space="preserve"> (výchozí stav v roce 2019: 7,8 milionu). To bude samozřejmě vyžadovat investice do řádných vzdělávacích systémů, které mohou tento cíl podpořit.</w:t>
      </w:r>
    </w:p>
    <w:p w:rsidRPr="00754BA9" w:rsidR="00687720" w:rsidP="00543904" w:rsidRDefault="00687720"/>
    <w:p w:rsidRPr="00754BA9" w:rsidR="00B45E5C" w:rsidP="00543904" w:rsidRDefault="003464D5">
      <w:pPr>
        <w:pStyle w:val="Heading2"/>
        <w:ind w:left="567" w:hanging="567"/>
      </w:pPr>
      <w:r>
        <w:t xml:space="preserve">Digitalizace služeb svobodných povolání, které úzce souvisejí s veřejnými zájmy, jako je zdraví, bezpečnost, právo a životní úroveň, má zásadní dopad na společnost a vyžaduje nové profesní </w:t>
      </w:r>
      <w:r w:rsidR="00543904">
        <w:t>a </w:t>
      </w:r>
      <w:r>
        <w:t>etické přístupy.</w:t>
      </w:r>
      <w:r w:rsidRPr="00754BA9">
        <w:rPr>
          <w:rStyle w:val="FootnoteReference"/>
        </w:rPr>
        <w:footnoteReference w:id="3"/>
      </w:r>
      <w:r>
        <w:t xml:space="preserve"> Její úspěch závisí jak na vysoce kvalifikovaných profesionálech </w:t>
      </w:r>
      <w:r w:rsidR="003909FB">
        <w:t>a </w:t>
      </w:r>
      <w:r>
        <w:t xml:space="preserve">digitálních dovednostech, tak na porozumění uživatelům, pacientům, klientům </w:t>
      </w:r>
      <w:r w:rsidR="003909FB">
        <w:t>a </w:t>
      </w:r>
      <w:r>
        <w:t>spotřebitelům.</w:t>
      </w:r>
    </w:p>
    <w:p w:rsidRPr="00754BA9" w:rsidR="00B45E5C" w:rsidP="00543904" w:rsidRDefault="00B45E5C">
      <w:pPr>
        <w:ind w:left="567" w:hanging="567"/>
      </w:pPr>
    </w:p>
    <w:p w:rsidRPr="00754BA9" w:rsidR="00B45E5C" w:rsidP="00543904" w:rsidRDefault="00B45E5C">
      <w:pPr>
        <w:pStyle w:val="Heading2"/>
        <w:ind w:left="567" w:hanging="567"/>
        <w:rPr>
          <w:iCs/>
        </w:rPr>
      </w:pPr>
      <w:r>
        <w:t>EHSV zdůrazňuje, že neustále roste potřeba prohlubování dovedností a změny kvalifikace, přičemž podporuje přístup k celoživotnímu učení pro všechny.</w:t>
      </w:r>
    </w:p>
    <w:p w:rsidRPr="00754BA9" w:rsidR="00B45E5C" w:rsidP="00543904" w:rsidRDefault="00B45E5C"/>
    <w:p w:rsidRPr="00754BA9" w:rsidR="00B45E5C" w:rsidP="00543904" w:rsidRDefault="00B45E5C">
      <w:pPr>
        <w:pStyle w:val="Heading2"/>
        <w:ind w:left="567" w:hanging="567"/>
      </w:pPr>
      <w:r>
        <w:t>Pandemie podpořila distanční vzdělávání. Zároveň se ukázalo, že je s tím spojeno vysoké riziko opožděného učení u dětí z nižších společenských tříd. Při realizaci akčního plánu digitálních cílů do roku 2030 je třeba věnovat zvláštní pozornost digitální chudobě.</w:t>
      </w:r>
    </w:p>
    <w:p w:rsidRPr="00754BA9" w:rsidR="00B45E5C" w:rsidP="00543904" w:rsidRDefault="00B45E5C"/>
    <w:p w:rsidRPr="00754BA9" w:rsidR="00465906" w:rsidP="00543904" w:rsidRDefault="00465906">
      <w:pPr>
        <w:pStyle w:val="Heading1"/>
        <w:keepNext/>
      </w:pPr>
      <w:r>
        <w:rPr>
          <w:b/>
        </w:rPr>
        <w:t>Globální úloha EU v digitální dekádě a rovné podmínky pro malé a střední podniky</w:t>
      </w:r>
    </w:p>
    <w:p w:rsidRPr="00754BA9" w:rsidR="00B45E5C" w:rsidP="00543904" w:rsidRDefault="00B45E5C">
      <w:pPr>
        <w:keepNext/>
      </w:pPr>
    </w:p>
    <w:p w:rsidRPr="00754BA9" w:rsidR="00E72096" w:rsidP="00543904" w:rsidRDefault="00E72096">
      <w:pPr>
        <w:pStyle w:val="Heading2"/>
        <w:ind w:left="567" w:hanging="567"/>
      </w:pPr>
      <w:r>
        <w:t>Pokud jde o malé a střední podniky, je samozřejmě zásadní podporovat jejich úsilí v oblasti digitalizace prostřednictvím různých přístupů, neméně důležité je však také zdůraznit úlohu malých a středních podniků jakožto hybné síly inovací v oblasti digitálních technologií.</w:t>
      </w:r>
    </w:p>
    <w:p w:rsidRPr="00754BA9" w:rsidR="00687720" w:rsidP="00543904" w:rsidRDefault="00687720"/>
    <w:p w:rsidRPr="00754BA9" w:rsidR="00E72096" w:rsidP="00543904" w:rsidRDefault="00E72096">
      <w:pPr>
        <w:pStyle w:val="Heading2"/>
        <w:ind w:left="567" w:hanging="567"/>
      </w:pPr>
      <w:r>
        <w:t xml:space="preserve">Vývoj softwaru je rychle rostoucím pododvětvím v rámci digitálního procesu. Zvláštní pozornost si zasluhuje podpora inovativních malých a středních podniků. EHSV souhlasí </w:t>
      </w:r>
      <w:r w:rsidR="003909FB">
        <w:t>s </w:t>
      </w:r>
      <w:r>
        <w:t xml:space="preserve">finančními mechanismy, které mohou malým a středním podnikům zajistit řádnou podporu </w:t>
      </w:r>
      <w:r w:rsidR="003909FB">
        <w:t>v </w:t>
      </w:r>
      <w:r>
        <w:t>zájmu hladkého přechodu. Zároveň je třeba zabezpečit také kontinuitu, což znamená poskytování aktualizací na novější verze, aby uživatelé nemuseli neustále investovat do nových programů.</w:t>
      </w:r>
    </w:p>
    <w:p w:rsidRPr="00754BA9" w:rsidR="00E72096" w:rsidP="00543904" w:rsidRDefault="00E72096"/>
    <w:p w:rsidRPr="00754BA9" w:rsidR="00E72096" w:rsidP="00543904" w:rsidRDefault="00E72096">
      <w:pPr>
        <w:pStyle w:val="Heading2"/>
        <w:ind w:left="567" w:hanging="567"/>
      </w:pPr>
      <w:r>
        <w:t xml:space="preserve">Všechny společnosti, ať už malé a střední podniky, začínající podniky, nebo rychle se rozvíjející podniky, potřebují kapitál. Cíle stanovené v dokumentu Komise vyzdvihují naléhavost dosažení unie kapitálových trhů, která zohledňuje tržní řešení, snižuje závislost na bankovním financování a poskytování finanční podpory a podporuje převody úspor mezi jednotlivými členskými státy ve snaze o co nejlepší návratnost. Dále se upozorňuje na potřebu odstranit daňové zvýhodnění dluhového financování. Inovativní společnosti potřebují vlastní kapitál </w:t>
      </w:r>
      <w:r w:rsidR="003909FB">
        <w:t>a </w:t>
      </w:r>
      <w:r>
        <w:t>daňový režim, který nadměrně neznevýhodňuje podnikatele uplatňováním mezních daňových sazeb na jejich kapitálové zisky.</w:t>
      </w:r>
    </w:p>
    <w:p w:rsidRPr="00754BA9" w:rsidR="00EF0CBA" w:rsidP="00543904" w:rsidRDefault="00EF0CBA"/>
    <w:p w:rsidRPr="00754BA9" w:rsidR="00465906" w:rsidP="00543904" w:rsidRDefault="00465906">
      <w:pPr>
        <w:pStyle w:val="Heading1"/>
        <w:keepNext/>
      </w:pPr>
      <w:r>
        <w:rPr>
          <w:b/>
        </w:rPr>
        <w:lastRenderedPageBreak/>
        <w:t>Rizika a záruky</w:t>
      </w:r>
    </w:p>
    <w:p w:rsidRPr="00754BA9" w:rsidR="00465906" w:rsidP="00543904" w:rsidRDefault="00465906">
      <w:pPr>
        <w:pStyle w:val="Heading1"/>
        <w:keepNext/>
        <w:numPr>
          <w:ilvl w:val="0"/>
          <w:numId w:val="0"/>
        </w:numPr>
      </w:pPr>
    </w:p>
    <w:p w:rsidRPr="00754BA9" w:rsidR="004A4F0E" w:rsidP="00543904" w:rsidRDefault="00E72096">
      <w:pPr>
        <w:pStyle w:val="Heading2"/>
        <w:ind w:left="567" w:hanging="567"/>
      </w:pPr>
      <w:r>
        <w:t>Prioritou tohoto programu musí být rovněž nutnost zajistit bezpečnost, předvídatelnost a fyzické i duševní zdraví. V zájmu zlepšení kvality života a pracovních míst je důležité zvyšovat povědomí lidí nejen o technologiích, ale rovněž o bezpečnosti. Dle této zásady by se podle EHSV Evropská komise měla při plánovaném každoročním sledování toho, jak Evropané vnímají respektování svých práv a hodnot, zaměřit i na to, zda je náležitě chráněno jejich právo na zdraví.</w:t>
      </w:r>
    </w:p>
    <w:p w:rsidRPr="00754BA9" w:rsidR="00BC1D61" w:rsidP="00543904" w:rsidRDefault="00BC1D61"/>
    <w:p w:rsidRPr="00754BA9" w:rsidR="00BC1D61" w:rsidP="00543904" w:rsidRDefault="00BC1D61">
      <w:pPr>
        <w:pStyle w:val="Heading2"/>
        <w:ind w:left="567" w:hanging="567"/>
      </w:pPr>
      <w:r>
        <w:t>Podobně EHSV doporučuje, aby Evropská unie v souvislosti s touto novou průmyslovou revolucí navrhla zvláštní strategii, v jejímž rámci bude sledováno celkové elektromagnetické znečištění, které vyvolávají různé momentálně dostupné technologie. Bylo by tak možné posoudit vývoj elektromagnetických dopadů v celé Evropě, vypracovat následně soubor dokumentů, které se budou konkrétně zabývat touto otázkou, a zajistit zdravotní stav obyvatelstva na základě porovnání s údaji, jež budou k dispozici, až budou konečně zavedeny evropské elektronické zdravotní záznamy. Toto monitorování by měly provádět všechny členské státy a výsledné údaje by měly být shromažďovány v jednotné evropské databázi. Dále by měla být zavedena evropská politika se zaměřením na posílení důvěry veřejnosti v této oblasti.</w:t>
      </w:r>
    </w:p>
    <w:p w:rsidRPr="00754BA9" w:rsidR="004A4F0E" w:rsidP="00543904" w:rsidRDefault="004A4F0E"/>
    <w:p w:rsidRPr="00754BA9" w:rsidR="006C4B39" w:rsidP="00543904" w:rsidRDefault="00E72096">
      <w:pPr>
        <w:pStyle w:val="Heading2"/>
        <w:ind w:left="567" w:hanging="567"/>
      </w:pPr>
      <w:r>
        <w:t>Digitální technologie by měly sloužit evropským občanům, kteří by nikdy neměli být považováni za objekty či pouhé zdroje dat. Měly by být zohledněny stávající etické a technické pokyny, jako jsou např. etické pokyny pro důvěryhodnou umělou inteligenci, které vypracovala odborná skupina na vysoké úrovni pro umělou inteligenci.</w:t>
      </w:r>
    </w:p>
    <w:p w:rsidRPr="00754BA9" w:rsidR="00687720" w:rsidP="00543904" w:rsidRDefault="00687720">
      <w:pPr>
        <w:ind w:left="567" w:hanging="567"/>
      </w:pPr>
    </w:p>
    <w:p w:rsidRPr="00754BA9" w:rsidR="00E72096" w:rsidP="00543904" w:rsidRDefault="00E72096">
      <w:pPr>
        <w:pStyle w:val="Heading2"/>
        <w:ind w:left="567" w:hanging="567"/>
      </w:pPr>
      <w:r>
        <w:t xml:space="preserve">EHSV doporučuje, aby byla s ohledem na rizika spojená se zpracováním údajů přijata opatření, která zajistí, že nebude uchováváno více údajů, než podnik skutečně potřebuje, a že budou údaje uchovávány pouze po nezbytnou dobu. Inovace založené na datech jsou zároveň klíčovým faktorem konkurenceschopnosti v digitálním prostředí, a orgány by měly usilovat </w:t>
      </w:r>
      <w:r w:rsidR="003909FB">
        <w:t>o </w:t>
      </w:r>
      <w:r>
        <w:t>meziodvětvový regulační rámec pro sdílení údajů, který umožní sdílení údajů zaměřené na uživatele.</w:t>
      </w:r>
      <w:r>
        <w:rPr>
          <w:sz w:val="21"/>
          <w:szCs w:val="21"/>
        </w:rPr>
        <w:t xml:space="preserve"> </w:t>
      </w:r>
      <w:r>
        <w:t>Příslušný rámec musí podporovat přístup k údajům a musí být zaměřen na interoperabilitu.</w:t>
      </w:r>
    </w:p>
    <w:p w:rsidRPr="00754BA9" w:rsidR="00687720" w:rsidP="00543904" w:rsidRDefault="00687720">
      <w:pPr>
        <w:ind w:left="567" w:hanging="567"/>
      </w:pPr>
    </w:p>
    <w:p w:rsidRPr="00754BA9" w:rsidR="00687720" w:rsidP="00543904" w:rsidRDefault="00687720">
      <w:pPr>
        <w:pStyle w:val="Heading2"/>
        <w:ind w:left="567" w:hanging="567"/>
      </w:pPr>
      <w:r>
        <w:t xml:space="preserve">20 % finančních prostředků Nástroje pro oživení a odolnost je vyčleněno na digitální konektivitu a 37 % na ekologickou transformaci. To vyžaduje ambiciózní a soudržnou vizi evropského telekomunikačního odvětví a závazek vytvoření příznivějšího regulačního rámce, který bude podporovat soukromé investice do síťové infrastruktury, jakož i rozvoj suverénních integrovaných telekomunikačních služeb s technologiemi cloudu, </w:t>
      </w:r>
      <w:proofErr w:type="spellStart"/>
      <w:r>
        <w:t>edge</w:t>
      </w:r>
      <w:proofErr w:type="spellEnd"/>
      <w:r>
        <w:t>, dat a umělé inteligence.</w:t>
      </w:r>
    </w:p>
    <w:p w:rsidRPr="00754BA9" w:rsidR="00687720" w:rsidP="00543904" w:rsidRDefault="00687720">
      <w:pPr>
        <w:ind w:left="567" w:hanging="567"/>
      </w:pPr>
    </w:p>
    <w:p w:rsidRPr="00754BA9" w:rsidR="00E72096" w:rsidP="00543904" w:rsidRDefault="00E72096">
      <w:pPr>
        <w:pStyle w:val="Heading2"/>
        <w:ind w:left="567" w:hanging="567"/>
      </w:pPr>
      <w:r>
        <w:t xml:space="preserve">EHSV se domnívá, že digitální transformace musí být v souladu s přechodem k zelenější ekonomice a musí zohledňovat dopad na životní prostředí. Využívání zdrojů (včetně omezených zdrojů) a jejich spotřeba energie musí být přiměřené. Na evropské úrovni by měla být požadována transparentnost týkající se uhlíkové stopy </w:t>
      </w:r>
      <w:proofErr w:type="spellStart"/>
      <w:r>
        <w:t>cloudových</w:t>
      </w:r>
      <w:proofErr w:type="spellEnd"/>
      <w:r>
        <w:t xml:space="preserve"> služeb, aby si každá organizace mohla spočítat svou digitální uhlíkovou stopu a vypracovat plány na její zmenšení.</w:t>
      </w:r>
    </w:p>
    <w:p w:rsidRPr="00754BA9" w:rsidR="00E72096" w:rsidP="00543904" w:rsidRDefault="00E72096">
      <w:pPr>
        <w:ind w:left="567" w:hanging="567"/>
      </w:pPr>
    </w:p>
    <w:p w:rsidRPr="00754BA9" w:rsidR="00E72096" w:rsidP="00543904" w:rsidRDefault="00E72096">
      <w:pPr>
        <w:pStyle w:val="Heading2"/>
        <w:keepNext/>
        <w:keepLines/>
        <w:ind w:left="567" w:hanging="567"/>
      </w:pPr>
      <w:bookmarkStart w:name="_GoBack" w:id="0"/>
      <w:r>
        <w:lastRenderedPageBreak/>
        <w:t xml:space="preserve">EHSV zdůrazňuje, že je třeba držet krok s rychlým vývojem technologií a obchodních modelů </w:t>
      </w:r>
      <w:r w:rsidR="003909FB">
        <w:t>a </w:t>
      </w:r>
      <w:r>
        <w:t>usilovat o odstranění veškerých mezer v právních předpisech, zejména takových, které mohou poškodit spotřebitele a nejzranitelnější občany.</w:t>
      </w:r>
    </w:p>
    <w:p w:rsidRPr="00754BA9" w:rsidR="00E95B50" w:rsidP="00543904" w:rsidRDefault="00E95B50">
      <w:pPr>
        <w:keepNext/>
        <w:keepLines/>
      </w:pPr>
    </w:p>
    <w:bookmarkEnd w:id="0"/>
    <w:p w:rsidRPr="00754BA9" w:rsidR="00E95B50" w:rsidP="00543904" w:rsidRDefault="00E95B50">
      <w:r>
        <w:t>V Bruselu dne 7. července 2021</w:t>
      </w:r>
    </w:p>
    <w:p w:rsidRPr="00754BA9" w:rsidR="00E95B50" w:rsidP="00543904" w:rsidRDefault="00E95B50"/>
    <w:p w:rsidRPr="00754BA9" w:rsidR="00E95B50" w:rsidP="00543904" w:rsidRDefault="00E95B50"/>
    <w:p w:rsidRPr="00754BA9" w:rsidR="00E95B50" w:rsidP="00543904" w:rsidRDefault="00E95B50"/>
    <w:p w:rsidRPr="00754BA9" w:rsidR="00E95B50" w:rsidP="00543904" w:rsidRDefault="00E95B50"/>
    <w:p w:rsidRPr="00754BA9" w:rsidR="00E95B50" w:rsidP="00543904" w:rsidRDefault="00FB6A3A">
      <w:r>
        <w:t>Christa SCHWENG</w:t>
      </w:r>
    </w:p>
    <w:p w:rsidRPr="00754BA9" w:rsidR="00E95B50" w:rsidP="00543904" w:rsidRDefault="00FB6A3A">
      <w:r>
        <w:t>předsedkyně Evropského hospodářského a sociálního výboru</w:t>
      </w:r>
    </w:p>
    <w:p w:rsidRPr="00754BA9" w:rsidR="00E95B50" w:rsidP="00543904" w:rsidRDefault="00E95B50"/>
    <w:p w:rsidRPr="00754BA9" w:rsidR="00646AC2" w:rsidP="00543904" w:rsidRDefault="00646AC2">
      <w:pPr>
        <w:jc w:val="center"/>
      </w:pPr>
      <w:r>
        <w:t>_____________</w:t>
      </w:r>
    </w:p>
    <w:sectPr w:rsidRPr="00754BA9" w:rsidR="00646AC2" w:rsidSect="0054390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418" w:right="1418" w:bottom="1418" w:left="1418" w:header="709" w:footer="709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EC8BB" w16cex:dateUtc="2021-05-18T22:14:00Z"/>
  <w16cex:commentExtensible w16cex:durableId="244ECF11" w16cex:dateUtc="2021-05-18T2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678331" w16cid:durableId="244EC8BB"/>
  <w16cid:commentId w16cid:paraId="56D4AF91" w16cid:durableId="245267FB"/>
  <w16cid:commentId w16cid:paraId="0D4745B9" w16cid:durableId="24526800"/>
  <w16cid:commentId w16cid:paraId="1CD79967" w16cid:durableId="244E1277"/>
  <w16cid:commentId w16cid:paraId="4748A2C8" w16cid:durableId="244ECF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F61" w:rsidRDefault="00535F61">
      <w:r>
        <w:separator/>
      </w:r>
    </w:p>
  </w:endnote>
  <w:endnote w:type="continuationSeparator" w:id="0">
    <w:p w:rsidR="00535F61" w:rsidRDefault="00535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6D" w:rsidRPr="00543904" w:rsidRDefault="00D0706D" w:rsidP="005439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DC6" w:rsidRPr="00543904" w:rsidRDefault="00543904" w:rsidP="00543904">
    <w:pPr>
      <w:pStyle w:val="Footer"/>
    </w:pPr>
    <w:r>
      <w:t xml:space="preserve">INT/933 – EESC-2021-01530-00-01-AC-TRA (EN)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>
        <w:rPr>
          <w:noProof/>
        </w:rPr>
        <w:instrText>10</w:instrText>
      </w:r>
    </w:fldSimple>
    <w:r>
      <w:instrText xml:space="preserve"> -0 </w:instrText>
    </w:r>
    <w:r>
      <w:fldChar w:fldCharType="separate"/>
    </w:r>
    <w:r>
      <w:rPr>
        <w:noProof/>
      </w:rPr>
      <w:t>10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6D" w:rsidRPr="00543904" w:rsidRDefault="00D0706D" w:rsidP="0054390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67" w:rsidRPr="00543904" w:rsidRDefault="007A2E67" w:rsidP="0054390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67" w:rsidRPr="00543904" w:rsidRDefault="00543904" w:rsidP="00543904">
    <w:pPr>
      <w:pStyle w:val="Footer"/>
    </w:pPr>
    <w:r>
      <w:t xml:space="preserve">INT/933 – EESC-2021-01530-00-01-AC-TRA (EN)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10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>
        <w:rPr>
          <w:noProof/>
        </w:rPr>
        <w:instrText>10</w:instrText>
      </w:r>
    </w:fldSimple>
    <w:r>
      <w:instrText xml:space="preserve"> -0 </w:instrText>
    </w:r>
    <w:r>
      <w:fldChar w:fldCharType="separate"/>
    </w:r>
    <w:r>
      <w:rPr>
        <w:noProof/>
      </w:rPr>
      <w:t>10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67" w:rsidRPr="00543904" w:rsidRDefault="007A2E67" w:rsidP="005439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F61" w:rsidRDefault="00535F61">
      <w:r>
        <w:separator/>
      </w:r>
    </w:p>
  </w:footnote>
  <w:footnote w:type="continuationSeparator" w:id="0">
    <w:p w:rsidR="00535F61" w:rsidRDefault="00535F61">
      <w:r>
        <w:continuationSeparator/>
      </w:r>
    </w:p>
  </w:footnote>
  <w:footnote w:id="1">
    <w:p w:rsidR="002D4F1D" w:rsidRPr="00687720" w:rsidRDefault="002D4F1D" w:rsidP="002D4F1D">
      <w:pPr>
        <w:pStyle w:val="FootnoteText"/>
      </w:pPr>
      <w:r>
        <w:rPr>
          <w:rStyle w:val="FootnoteReference"/>
        </w:rPr>
        <w:footnoteRef/>
      </w:r>
      <w:r>
        <w:tab/>
      </w:r>
      <w:hyperlink r:id="rId1" w:tgtFrame="_blank" w:tooltip="Úř. věst. C 440, 6.12.2018, s. 1 – odkaz se otevře v novém okně" w:history="1">
        <w:r>
          <w:rPr>
            <w:rStyle w:val="Hyperlink"/>
            <w:bCs/>
            <w:color w:val="034EA2"/>
            <w:szCs w:val="16"/>
            <w:shd w:val="clear" w:color="auto" w:fill="FFFFFF"/>
          </w:rPr>
          <w:t>Úř. věst. C 440, 6.12.2018, s.</w:t>
        </w:r>
        <w:r w:rsidR="00DF4F50">
          <w:rPr>
            <w:rStyle w:val="Hyperlink"/>
            <w:bCs/>
            <w:color w:val="034EA2"/>
            <w:szCs w:val="16"/>
            <w:shd w:val="clear" w:color="auto" w:fill="FFFFFF"/>
          </w:rPr>
          <w:t xml:space="preserve"> </w:t>
        </w:r>
        <w:r>
          <w:rPr>
            <w:rStyle w:val="Hyperlink"/>
            <w:bCs/>
            <w:color w:val="034EA2"/>
            <w:szCs w:val="16"/>
            <w:shd w:val="clear" w:color="auto" w:fill="FFFFFF"/>
          </w:rPr>
          <w:t>1</w:t>
        </w:r>
      </w:hyperlink>
      <w:r>
        <w:t>.</w:t>
      </w:r>
    </w:p>
  </w:footnote>
  <w:footnote w:id="2">
    <w:p w:rsidR="00085704" w:rsidRPr="00085704" w:rsidRDefault="0008570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Ukazatel DESI „2b1“. V současné době dosahuje podíl žen mezi specialisty zaměstnanými v oboru IKT pouhých 18 %.</w:t>
      </w:r>
    </w:p>
  </w:footnote>
  <w:footnote w:id="3">
    <w:p w:rsidR="003464D5" w:rsidRPr="003464D5" w:rsidRDefault="003464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hyperlink r:id="rId2" w:history="1">
        <w:r w:rsidR="00E62E30" w:rsidRPr="00E62E30">
          <w:rPr>
            <w:rStyle w:val="Hyperlink"/>
          </w:rPr>
          <w:t>Úř. věst. C 286, 16.7.2021, s. 8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6D" w:rsidRPr="00543904" w:rsidRDefault="00D0706D" w:rsidP="005439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6D" w:rsidRPr="00543904" w:rsidRDefault="00D0706D" w:rsidP="005439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06D" w:rsidRPr="00543904" w:rsidRDefault="00D0706D" w:rsidP="0054390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67" w:rsidRPr="00543904" w:rsidRDefault="007A2E67" w:rsidP="0054390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67" w:rsidRPr="00543904" w:rsidRDefault="007A2E67" w:rsidP="0054390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67" w:rsidRPr="00543904" w:rsidRDefault="007A2E67" w:rsidP="005439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510FCCE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  <w:rPr>
        <w:sz w:val="22"/>
        <w:szCs w:val="22"/>
      </w:rPr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88242A6"/>
    <w:multiLevelType w:val="multilevel"/>
    <w:tmpl w:val="B2D41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3C2BC8"/>
    <w:multiLevelType w:val="multilevel"/>
    <w:tmpl w:val="8BB06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851191"/>
    <w:multiLevelType w:val="multilevel"/>
    <w:tmpl w:val="AB708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5">
    <w:abstractNumId w:val="1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3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0"/>
  </w:num>
  <w:num w:numId="79">
    <w:abstractNumId w:val="0"/>
    <w:lvlOverride w:ilvl="0">
      <w:startOverride w:val="4"/>
    </w:lvlOverride>
    <w:lvlOverride w:ilvl="1">
      <w:startOverride w:val="4"/>
    </w:lvlOverride>
  </w:num>
  <w:num w:numId="80">
    <w:abstractNumId w:val="2"/>
  </w:num>
  <w:num w:numId="81">
    <w:abstractNumId w:val="0"/>
    <w:lvlOverride w:ilvl="0">
      <w:startOverride w:val="1"/>
    </w:lvlOverride>
    <w:lvlOverride w:ilvl="1">
      <w:startOverride w:val="4"/>
    </w:lvlOverride>
  </w:num>
  <w:num w:numId="82">
    <w:abstractNumId w:val="0"/>
  </w:num>
  <w:num w:numId="83">
    <w:abstractNumId w:val="0"/>
    <w:lvlOverride w:ilvl="0">
      <w:startOverride w:val="6"/>
    </w:lvlOverride>
    <w:lvlOverride w:ilvl="1">
      <w:startOverride w:val="3"/>
    </w:lvlOverride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proofState w:spelling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8F"/>
    <w:rsid w:val="00005AB9"/>
    <w:rsid w:val="00005EB9"/>
    <w:rsid w:val="00006E24"/>
    <w:rsid w:val="00007A40"/>
    <w:rsid w:val="00011D33"/>
    <w:rsid w:val="00020E6E"/>
    <w:rsid w:val="000218D2"/>
    <w:rsid w:val="00031A4B"/>
    <w:rsid w:val="00033913"/>
    <w:rsid w:val="00033E5B"/>
    <w:rsid w:val="000357A8"/>
    <w:rsid w:val="000400B5"/>
    <w:rsid w:val="000430A6"/>
    <w:rsid w:val="00044240"/>
    <w:rsid w:val="00044923"/>
    <w:rsid w:val="0005249C"/>
    <w:rsid w:val="000534A5"/>
    <w:rsid w:val="0005680D"/>
    <w:rsid w:val="00063FB4"/>
    <w:rsid w:val="0006793E"/>
    <w:rsid w:val="00072E0F"/>
    <w:rsid w:val="000735E5"/>
    <w:rsid w:val="0007392F"/>
    <w:rsid w:val="00074AD8"/>
    <w:rsid w:val="00085704"/>
    <w:rsid w:val="00087B39"/>
    <w:rsid w:val="00094D5B"/>
    <w:rsid w:val="00096502"/>
    <w:rsid w:val="000A23EA"/>
    <w:rsid w:val="000A49BB"/>
    <w:rsid w:val="000B27B5"/>
    <w:rsid w:val="000B3579"/>
    <w:rsid w:val="000C3441"/>
    <w:rsid w:val="000C7F53"/>
    <w:rsid w:val="000D0CBF"/>
    <w:rsid w:val="000D2F8E"/>
    <w:rsid w:val="000D5327"/>
    <w:rsid w:val="000D631B"/>
    <w:rsid w:val="000E1DD2"/>
    <w:rsid w:val="000E6D32"/>
    <w:rsid w:val="000F196B"/>
    <w:rsid w:val="000F593B"/>
    <w:rsid w:val="00105361"/>
    <w:rsid w:val="001101F8"/>
    <w:rsid w:val="0011206F"/>
    <w:rsid w:val="0011656A"/>
    <w:rsid w:val="0012220C"/>
    <w:rsid w:val="00136475"/>
    <w:rsid w:val="00136EA3"/>
    <w:rsid w:val="00137575"/>
    <w:rsid w:val="0014073E"/>
    <w:rsid w:val="00142028"/>
    <w:rsid w:val="00144231"/>
    <w:rsid w:val="00150434"/>
    <w:rsid w:val="001524B0"/>
    <w:rsid w:val="0015436F"/>
    <w:rsid w:val="00155721"/>
    <w:rsid w:val="0015678B"/>
    <w:rsid w:val="0016503F"/>
    <w:rsid w:val="0016674F"/>
    <w:rsid w:val="00167CA0"/>
    <w:rsid w:val="00170FB2"/>
    <w:rsid w:val="00170FE5"/>
    <w:rsid w:val="0017120D"/>
    <w:rsid w:val="001714F6"/>
    <w:rsid w:val="00176168"/>
    <w:rsid w:val="00177158"/>
    <w:rsid w:val="001808A5"/>
    <w:rsid w:val="001834D9"/>
    <w:rsid w:val="00184FD4"/>
    <w:rsid w:val="00186B04"/>
    <w:rsid w:val="00186F1E"/>
    <w:rsid w:val="00190836"/>
    <w:rsid w:val="00193930"/>
    <w:rsid w:val="001950F0"/>
    <w:rsid w:val="001963A5"/>
    <w:rsid w:val="00196F1E"/>
    <w:rsid w:val="00197FCA"/>
    <w:rsid w:val="001A27DB"/>
    <w:rsid w:val="001A5B82"/>
    <w:rsid w:val="001A6852"/>
    <w:rsid w:val="001A742F"/>
    <w:rsid w:val="001B1EA7"/>
    <w:rsid w:val="001B286A"/>
    <w:rsid w:val="001B2D02"/>
    <w:rsid w:val="001B3647"/>
    <w:rsid w:val="001B77FA"/>
    <w:rsid w:val="001C0ABE"/>
    <w:rsid w:val="001C5852"/>
    <w:rsid w:val="001D45F0"/>
    <w:rsid w:val="001E2F97"/>
    <w:rsid w:val="001E4A33"/>
    <w:rsid w:val="001E5C27"/>
    <w:rsid w:val="001F602B"/>
    <w:rsid w:val="001F6AC8"/>
    <w:rsid w:val="002037D5"/>
    <w:rsid w:val="00206F90"/>
    <w:rsid w:val="00212B03"/>
    <w:rsid w:val="002131AE"/>
    <w:rsid w:val="00215C10"/>
    <w:rsid w:val="00215C2D"/>
    <w:rsid w:val="00221E2D"/>
    <w:rsid w:val="002252C4"/>
    <w:rsid w:val="00226B26"/>
    <w:rsid w:val="002315BE"/>
    <w:rsid w:val="0023183E"/>
    <w:rsid w:val="00235138"/>
    <w:rsid w:val="00243E36"/>
    <w:rsid w:val="00245240"/>
    <w:rsid w:val="0024540B"/>
    <w:rsid w:val="00245EF4"/>
    <w:rsid w:val="00250E11"/>
    <w:rsid w:val="00251383"/>
    <w:rsid w:val="002522C9"/>
    <w:rsid w:val="00252A21"/>
    <w:rsid w:val="00253E4F"/>
    <w:rsid w:val="002542E4"/>
    <w:rsid w:val="00260C51"/>
    <w:rsid w:val="00261053"/>
    <w:rsid w:val="00262FDE"/>
    <w:rsid w:val="00263629"/>
    <w:rsid w:val="0027288A"/>
    <w:rsid w:val="00274095"/>
    <w:rsid w:val="002769BD"/>
    <w:rsid w:val="00276A75"/>
    <w:rsid w:val="002809EA"/>
    <w:rsid w:val="002836A4"/>
    <w:rsid w:val="00284272"/>
    <w:rsid w:val="00284962"/>
    <w:rsid w:val="00287B0E"/>
    <w:rsid w:val="002A0B53"/>
    <w:rsid w:val="002A0EEF"/>
    <w:rsid w:val="002A76F9"/>
    <w:rsid w:val="002B2DF7"/>
    <w:rsid w:val="002C1DB1"/>
    <w:rsid w:val="002C3BF4"/>
    <w:rsid w:val="002C4DC2"/>
    <w:rsid w:val="002C749F"/>
    <w:rsid w:val="002D4F1D"/>
    <w:rsid w:val="002D6964"/>
    <w:rsid w:val="002E744D"/>
    <w:rsid w:val="002E7B33"/>
    <w:rsid w:val="002F059B"/>
    <w:rsid w:val="002F5B0B"/>
    <w:rsid w:val="00300924"/>
    <w:rsid w:val="0030596E"/>
    <w:rsid w:val="00306625"/>
    <w:rsid w:val="003073C3"/>
    <w:rsid w:val="00310C50"/>
    <w:rsid w:val="003115F6"/>
    <w:rsid w:val="00323637"/>
    <w:rsid w:val="00324E8A"/>
    <w:rsid w:val="00331D87"/>
    <w:rsid w:val="00332850"/>
    <w:rsid w:val="00334478"/>
    <w:rsid w:val="003346B4"/>
    <w:rsid w:val="00334AE6"/>
    <w:rsid w:val="003365D0"/>
    <w:rsid w:val="0034249D"/>
    <w:rsid w:val="003439AB"/>
    <w:rsid w:val="003464D5"/>
    <w:rsid w:val="0035034C"/>
    <w:rsid w:val="00354695"/>
    <w:rsid w:val="0035549B"/>
    <w:rsid w:val="0037336E"/>
    <w:rsid w:val="003755C8"/>
    <w:rsid w:val="00375687"/>
    <w:rsid w:val="0038026B"/>
    <w:rsid w:val="00380AE0"/>
    <w:rsid w:val="00383324"/>
    <w:rsid w:val="00383838"/>
    <w:rsid w:val="00387A75"/>
    <w:rsid w:val="00387F23"/>
    <w:rsid w:val="003904FD"/>
    <w:rsid w:val="003909FB"/>
    <w:rsid w:val="003916A0"/>
    <w:rsid w:val="00391862"/>
    <w:rsid w:val="00393C1D"/>
    <w:rsid w:val="00394254"/>
    <w:rsid w:val="003A292F"/>
    <w:rsid w:val="003A37CC"/>
    <w:rsid w:val="003A7034"/>
    <w:rsid w:val="003C1166"/>
    <w:rsid w:val="003C2BFB"/>
    <w:rsid w:val="003C436B"/>
    <w:rsid w:val="003C5337"/>
    <w:rsid w:val="003C5F92"/>
    <w:rsid w:val="003D26F9"/>
    <w:rsid w:val="003D7A8C"/>
    <w:rsid w:val="003D7C00"/>
    <w:rsid w:val="003E56E5"/>
    <w:rsid w:val="003E7E60"/>
    <w:rsid w:val="003F00D4"/>
    <w:rsid w:val="003F2209"/>
    <w:rsid w:val="003F3D39"/>
    <w:rsid w:val="003F646A"/>
    <w:rsid w:val="003F6761"/>
    <w:rsid w:val="003F6A0A"/>
    <w:rsid w:val="0040058D"/>
    <w:rsid w:val="004024F5"/>
    <w:rsid w:val="00402DE1"/>
    <w:rsid w:val="00403D8B"/>
    <w:rsid w:val="004058F1"/>
    <w:rsid w:val="00407E7D"/>
    <w:rsid w:val="0041283D"/>
    <w:rsid w:val="00413AB4"/>
    <w:rsid w:val="00421373"/>
    <w:rsid w:val="00421FB7"/>
    <w:rsid w:val="004267A4"/>
    <w:rsid w:val="0042763B"/>
    <w:rsid w:val="004278AF"/>
    <w:rsid w:val="0043024C"/>
    <w:rsid w:val="00435AD7"/>
    <w:rsid w:val="00436706"/>
    <w:rsid w:val="00443D38"/>
    <w:rsid w:val="00444EA4"/>
    <w:rsid w:val="00450E7A"/>
    <w:rsid w:val="0045165E"/>
    <w:rsid w:val="00451946"/>
    <w:rsid w:val="00456AF8"/>
    <w:rsid w:val="00464265"/>
    <w:rsid w:val="00465906"/>
    <w:rsid w:val="00470B15"/>
    <w:rsid w:val="00475869"/>
    <w:rsid w:val="00475A77"/>
    <w:rsid w:val="00476741"/>
    <w:rsid w:val="00483604"/>
    <w:rsid w:val="004866A9"/>
    <w:rsid w:val="00486BFF"/>
    <w:rsid w:val="00492774"/>
    <w:rsid w:val="00492CB2"/>
    <w:rsid w:val="00496D7A"/>
    <w:rsid w:val="004A31BC"/>
    <w:rsid w:val="004A3F1A"/>
    <w:rsid w:val="004A3F45"/>
    <w:rsid w:val="004A4F0E"/>
    <w:rsid w:val="004A5738"/>
    <w:rsid w:val="004B1AFA"/>
    <w:rsid w:val="004B7088"/>
    <w:rsid w:val="004C4D12"/>
    <w:rsid w:val="004C5B76"/>
    <w:rsid w:val="004C5C53"/>
    <w:rsid w:val="004D02CD"/>
    <w:rsid w:val="004D0B24"/>
    <w:rsid w:val="004D0CFC"/>
    <w:rsid w:val="004D4B90"/>
    <w:rsid w:val="004D6B95"/>
    <w:rsid w:val="004D7F41"/>
    <w:rsid w:val="004E03A2"/>
    <w:rsid w:val="004E317E"/>
    <w:rsid w:val="004E3954"/>
    <w:rsid w:val="004E5856"/>
    <w:rsid w:val="004F2330"/>
    <w:rsid w:val="004F53C6"/>
    <w:rsid w:val="004F55C6"/>
    <w:rsid w:val="004F69DB"/>
    <w:rsid w:val="004F6B87"/>
    <w:rsid w:val="00501C2D"/>
    <w:rsid w:val="00502637"/>
    <w:rsid w:val="005073FF"/>
    <w:rsid w:val="00511140"/>
    <w:rsid w:val="00513CFE"/>
    <w:rsid w:val="00523B6A"/>
    <w:rsid w:val="00525F6C"/>
    <w:rsid w:val="00534A62"/>
    <w:rsid w:val="00535F61"/>
    <w:rsid w:val="00542943"/>
    <w:rsid w:val="00543904"/>
    <w:rsid w:val="00546AB4"/>
    <w:rsid w:val="005514E5"/>
    <w:rsid w:val="00552BFB"/>
    <w:rsid w:val="00563C84"/>
    <w:rsid w:val="005762F6"/>
    <w:rsid w:val="00582596"/>
    <w:rsid w:val="00582680"/>
    <w:rsid w:val="00584FBE"/>
    <w:rsid w:val="00585483"/>
    <w:rsid w:val="00587378"/>
    <w:rsid w:val="00587C05"/>
    <w:rsid w:val="00590AAB"/>
    <w:rsid w:val="0059172E"/>
    <w:rsid w:val="005938C3"/>
    <w:rsid w:val="0059468C"/>
    <w:rsid w:val="00595125"/>
    <w:rsid w:val="00596F21"/>
    <w:rsid w:val="005A0913"/>
    <w:rsid w:val="005A3D86"/>
    <w:rsid w:val="005B1CDD"/>
    <w:rsid w:val="005B1E19"/>
    <w:rsid w:val="005B55FC"/>
    <w:rsid w:val="005C2D5E"/>
    <w:rsid w:val="005C3B81"/>
    <w:rsid w:val="005C650C"/>
    <w:rsid w:val="005D086C"/>
    <w:rsid w:val="005D11D3"/>
    <w:rsid w:val="005D4E1F"/>
    <w:rsid w:val="005D4FB3"/>
    <w:rsid w:val="005E2F07"/>
    <w:rsid w:val="005E2FEA"/>
    <w:rsid w:val="005F1D22"/>
    <w:rsid w:val="005F314B"/>
    <w:rsid w:val="005F6F3E"/>
    <w:rsid w:val="00607EBF"/>
    <w:rsid w:val="00611AF2"/>
    <w:rsid w:val="0061212B"/>
    <w:rsid w:val="006127AF"/>
    <w:rsid w:val="00613A98"/>
    <w:rsid w:val="00615969"/>
    <w:rsid w:val="00615FB2"/>
    <w:rsid w:val="0061764F"/>
    <w:rsid w:val="00617BD1"/>
    <w:rsid w:val="00617CE8"/>
    <w:rsid w:val="006278A0"/>
    <w:rsid w:val="0063095F"/>
    <w:rsid w:val="00631CBD"/>
    <w:rsid w:val="0063704F"/>
    <w:rsid w:val="006466E4"/>
    <w:rsid w:val="00646AC2"/>
    <w:rsid w:val="00650390"/>
    <w:rsid w:val="00654DAB"/>
    <w:rsid w:val="006579DF"/>
    <w:rsid w:val="0066204A"/>
    <w:rsid w:val="00670E3C"/>
    <w:rsid w:val="00677F57"/>
    <w:rsid w:val="00681088"/>
    <w:rsid w:val="006861AF"/>
    <w:rsid w:val="00687720"/>
    <w:rsid w:val="0069577E"/>
    <w:rsid w:val="0069634B"/>
    <w:rsid w:val="00696623"/>
    <w:rsid w:val="00697489"/>
    <w:rsid w:val="006A04E9"/>
    <w:rsid w:val="006A4A03"/>
    <w:rsid w:val="006A7543"/>
    <w:rsid w:val="006B0426"/>
    <w:rsid w:val="006B725C"/>
    <w:rsid w:val="006B7750"/>
    <w:rsid w:val="006C273D"/>
    <w:rsid w:val="006C4B39"/>
    <w:rsid w:val="006C5C4F"/>
    <w:rsid w:val="006C6282"/>
    <w:rsid w:val="006C762A"/>
    <w:rsid w:val="006D1CA0"/>
    <w:rsid w:val="006D5FF9"/>
    <w:rsid w:val="006E0772"/>
    <w:rsid w:val="006E0F86"/>
    <w:rsid w:val="006E20B7"/>
    <w:rsid w:val="006E33AF"/>
    <w:rsid w:val="006F0B15"/>
    <w:rsid w:val="006F0DCC"/>
    <w:rsid w:val="006F5714"/>
    <w:rsid w:val="006F5DD7"/>
    <w:rsid w:val="006F6A4B"/>
    <w:rsid w:val="00700E82"/>
    <w:rsid w:val="00703DF9"/>
    <w:rsid w:val="007048EB"/>
    <w:rsid w:val="00704FBB"/>
    <w:rsid w:val="0070726A"/>
    <w:rsid w:val="0071226B"/>
    <w:rsid w:val="00717040"/>
    <w:rsid w:val="007218A3"/>
    <w:rsid w:val="00725DA7"/>
    <w:rsid w:val="00726076"/>
    <w:rsid w:val="00746091"/>
    <w:rsid w:val="00754085"/>
    <w:rsid w:val="00754BA9"/>
    <w:rsid w:val="00755CC6"/>
    <w:rsid w:val="007622A7"/>
    <w:rsid w:val="00772BCB"/>
    <w:rsid w:val="007750A2"/>
    <w:rsid w:val="00781633"/>
    <w:rsid w:val="0078171A"/>
    <w:rsid w:val="007817D6"/>
    <w:rsid w:val="00781E1C"/>
    <w:rsid w:val="00787912"/>
    <w:rsid w:val="0079177A"/>
    <w:rsid w:val="00794836"/>
    <w:rsid w:val="007948D5"/>
    <w:rsid w:val="007A15C9"/>
    <w:rsid w:val="007A2E67"/>
    <w:rsid w:val="007A6676"/>
    <w:rsid w:val="007B7445"/>
    <w:rsid w:val="007B7FF5"/>
    <w:rsid w:val="007C2408"/>
    <w:rsid w:val="007C3FC6"/>
    <w:rsid w:val="007D2CE9"/>
    <w:rsid w:val="007D4DB8"/>
    <w:rsid w:val="007D4FED"/>
    <w:rsid w:val="007D69DA"/>
    <w:rsid w:val="007D70B1"/>
    <w:rsid w:val="007D7140"/>
    <w:rsid w:val="007E1CDB"/>
    <w:rsid w:val="007E408C"/>
    <w:rsid w:val="007E50BF"/>
    <w:rsid w:val="007E66A8"/>
    <w:rsid w:val="007E7E21"/>
    <w:rsid w:val="007F0460"/>
    <w:rsid w:val="007F0DA2"/>
    <w:rsid w:val="007F39CE"/>
    <w:rsid w:val="007F4DDA"/>
    <w:rsid w:val="007F5E0D"/>
    <w:rsid w:val="00801085"/>
    <w:rsid w:val="00801A89"/>
    <w:rsid w:val="00804457"/>
    <w:rsid w:val="00812138"/>
    <w:rsid w:val="008144EE"/>
    <w:rsid w:val="008151F2"/>
    <w:rsid w:val="0081777A"/>
    <w:rsid w:val="008210E0"/>
    <w:rsid w:val="00824079"/>
    <w:rsid w:val="00831F0A"/>
    <w:rsid w:val="00833A78"/>
    <w:rsid w:val="00840A99"/>
    <w:rsid w:val="0084585F"/>
    <w:rsid w:val="00846A06"/>
    <w:rsid w:val="00846D92"/>
    <w:rsid w:val="0085242D"/>
    <w:rsid w:val="00853E53"/>
    <w:rsid w:val="0085535C"/>
    <w:rsid w:val="00860E25"/>
    <w:rsid w:val="00862D37"/>
    <w:rsid w:val="00864D76"/>
    <w:rsid w:val="008656C9"/>
    <w:rsid w:val="0086711C"/>
    <w:rsid w:val="00867535"/>
    <w:rsid w:val="00875C5B"/>
    <w:rsid w:val="00883C5F"/>
    <w:rsid w:val="00891C7D"/>
    <w:rsid w:val="00892FA7"/>
    <w:rsid w:val="00897757"/>
    <w:rsid w:val="008A3301"/>
    <w:rsid w:val="008A4DF1"/>
    <w:rsid w:val="008A5636"/>
    <w:rsid w:val="008B125E"/>
    <w:rsid w:val="008B241C"/>
    <w:rsid w:val="008B408B"/>
    <w:rsid w:val="008B4F11"/>
    <w:rsid w:val="008C2362"/>
    <w:rsid w:val="008C3049"/>
    <w:rsid w:val="008C74D9"/>
    <w:rsid w:val="008D4AE9"/>
    <w:rsid w:val="008D5A71"/>
    <w:rsid w:val="008D5CF3"/>
    <w:rsid w:val="008D7D39"/>
    <w:rsid w:val="008E4574"/>
    <w:rsid w:val="008E72EF"/>
    <w:rsid w:val="008F4016"/>
    <w:rsid w:val="008F42FE"/>
    <w:rsid w:val="008F4580"/>
    <w:rsid w:val="008F4A00"/>
    <w:rsid w:val="008F5402"/>
    <w:rsid w:val="0090053A"/>
    <w:rsid w:val="00901C2A"/>
    <w:rsid w:val="009118C7"/>
    <w:rsid w:val="009225B6"/>
    <w:rsid w:val="00925397"/>
    <w:rsid w:val="00933A21"/>
    <w:rsid w:val="00934C10"/>
    <w:rsid w:val="0093662A"/>
    <w:rsid w:val="0094060C"/>
    <w:rsid w:val="00942C4B"/>
    <w:rsid w:val="00944196"/>
    <w:rsid w:val="009606A5"/>
    <w:rsid w:val="00962F1F"/>
    <w:rsid w:val="00965304"/>
    <w:rsid w:val="00971293"/>
    <w:rsid w:val="00973A3B"/>
    <w:rsid w:val="00983EAE"/>
    <w:rsid w:val="0098760B"/>
    <w:rsid w:val="00992528"/>
    <w:rsid w:val="009A11DD"/>
    <w:rsid w:val="009B29CD"/>
    <w:rsid w:val="009B30AA"/>
    <w:rsid w:val="009B5217"/>
    <w:rsid w:val="009B643E"/>
    <w:rsid w:val="009C48DE"/>
    <w:rsid w:val="009C63BD"/>
    <w:rsid w:val="009D4F49"/>
    <w:rsid w:val="009D60D9"/>
    <w:rsid w:val="009E16EC"/>
    <w:rsid w:val="009E1E1E"/>
    <w:rsid w:val="009E33E3"/>
    <w:rsid w:val="009E7F16"/>
    <w:rsid w:val="009F0EFA"/>
    <w:rsid w:val="009F1E65"/>
    <w:rsid w:val="009F5052"/>
    <w:rsid w:val="009F5D92"/>
    <w:rsid w:val="00A03083"/>
    <w:rsid w:val="00A04C85"/>
    <w:rsid w:val="00A05B52"/>
    <w:rsid w:val="00A100F0"/>
    <w:rsid w:val="00A156E6"/>
    <w:rsid w:val="00A177C5"/>
    <w:rsid w:val="00A21798"/>
    <w:rsid w:val="00A27D86"/>
    <w:rsid w:val="00A30A3D"/>
    <w:rsid w:val="00A31448"/>
    <w:rsid w:val="00A315CA"/>
    <w:rsid w:val="00A33151"/>
    <w:rsid w:val="00A36970"/>
    <w:rsid w:val="00A37DF3"/>
    <w:rsid w:val="00A41EB4"/>
    <w:rsid w:val="00A44BFF"/>
    <w:rsid w:val="00A501E3"/>
    <w:rsid w:val="00A50F0C"/>
    <w:rsid w:val="00A53A73"/>
    <w:rsid w:val="00A56441"/>
    <w:rsid w:val="00A57983"/>
    <w:rsid w:val="00A651AE"/>
    <w:rsid w:val="00A734E0"/>
    <w:rsid w:val="00A736DD"/>
    <w:rsid w:val="00A82869"/>
    <w:rsid w:val="00A84DF8"/>
    <w:rsid w:val="00A85102"/>
    <w:rsid w:val="00A8758C"/>
    <w:rsid w:val="00AA127E"/>
    <w:rsid w:val="00AA19AE"/>
    <w:rsid w:val="00AA423D"/>
    <w:rsid w:val="00AA6A95"/>
    <w:rsid w:val="00AB10DE"/>
    <w:rsid w:val="00AB3668"/>
    <w:rsid w:val="00AB5ED7"/>
    <w:rsid w:val="00AC0B4C"/>
    <w:rsid w:val="00AC0F60"/>
    <w:rsid w:val="00AC3092"/>
    <w:rsid w:val="00AD0AEE"/>
    <w:rsid w:val="00AD2CC1"/>
    <w:rsid w:val="00AD49E3"/>
    <w:rsid w:val="00AD4B4F"/>
    <w:rsid w:val="00AF0616"/>
    <w:rsid w:val="00AF0E28"/>
    <w:rsid w:val="00AF6F9B"/>
    <w:rsid w:val="00AF7375"/>
    <w:rsid w:val="00B01409"/>
    <w:rsid w:val="00B10DBD"/>
    <w:rsid w:val="00B15629"/>
    <w:rsid w:val="00B2372C"/>
    <w:rsid w:val="00B32F70"/>
    <w:rsid w:val="00B373D0"/>
    <w:rsid w:val="00B43AAA"/>
    <w:rsid w:val="00B45E5C"/>
    <w:rsid w:val="00B53064"/>
    <w:rsid w:val="00B53139"/>
    <w:rsid w:val="00B562CE"/>
    <w:rsid w:val="00B62DE2"/>
    <w:rsid w:val="00B65875"/>
    <w:rsid w:val="00B74417"/>
    <w:rsid w:val="00B77246"/>
    <w:rsid w:val="00B866CD"/>
    <w:rsid w:val="00B904D0"/>
    <w:rsid w:val="00B93034"/>
    <w:rsid w:val="00B93A81"/>
    <w:rsid w:val="00B97472"/>
    <w:rsid w:val="00B97C5D"/>
    <w:rsid w:val="00BA1290"/>
    <w:rsid w:val="00BA3877"/>
    <w:rsid w:val="00BA65B1"/>
    <w:rsid w:val="00BA6FEE"/>
    <w:rsid w:val="00BB2792"/>
    <w:rsid w:val="00BB76BF"/>
    <w:rsid w:val="00BC0634"/>
    <w:rsid w:val="00BC1AD1"/>
    <w:rsid w:val="00BC1D61"/>
    <w:rsid w:val="00BC1D82"/>
    <w:rsid w:val="00BC4A58"/>
    <w:rsid w:val="00BC613B"/>
    <w:rsid w:val="00BD4008"/>
    <w:rsid w:val="00BD51D9"/>
    <w:rsid w:val="00BD64E2"/>
    <w:rsid w:val="00BE4995"/>
    <w:rsid w:val="00BF429A"/>
    <w:rsid w:val="00BF62BE"/>
    <w:rsid w:val="00C07126"/>
    <w:rsid w:val="00C10B0E"/>
    <w:rsid w:val="00C1215E"/>
    <w:rsid w:val="00C16853"/>
    <w:rsid w:val="00C20D5C"/>
    <w:rsid w:val="00C263F0"/>
    <w:rsid w:val="00C33D41"/>
    <w:rsid w:val="00C40A96"/>
    <w:rsid w:val="00C40AFD"/>
    <w:rsid w:val="00C41E20"/>
    <w:rsid w:val="00C41EA4"/>
    <w:rsid w:val="00C42E3E"/>
    <w:rsid w:val="00C45BD9"/>
    <w:rsid w:val="00C47180"/>
    <w:rsid w:val="00C50AA4"/>
    <w:rsid w:val="00C51C13"/>
    <w:rsid w:val="00C525A5"/>
    <w:rsid w:val="00C5300F"/>
    <w:rsid w:val="00C54594"/>
    <w:rsid w:val="00C66CE0"/>
    <w:rsid w:val="00C71BED"/>
    <w:rsid w:val="00C737B2"/>
    <w:rsid w:val="00C7687D"/>
    <w:rsid w:val="00C81B53"/>
    <w:rsid w:val="00C82AD2"/>
    <w:rsid w:val="00C85F2C"/>
    <w:rsid w:val="00C90FB6"/>
    <w:rsid w:val="00C9220E"/>
    <w:rsid w:val="00C92710"/>
    <w:rsid w:val="00C932BD"/>
    <w:rsid w:val="00C93429"/>
    <w:rsid w:val="00CA16C5"/>
    <w:rsid w:val="00CA415A"/>
    <w:rsid w:val="00CA7A35"/>
    <w:rsid w:val="00CB1536"/>
    <w:rsid w:val="00CB31F2"/>
    <w:rsid w:val="00CB7FB8"/>
    <w:rsid w:val="00CC1F71"/>
    <w:rsid w:val="00CC5588"/>
    <w:rsid w:val="00CC5EB3"/>
    <w:rsid w:val="00CD0340"/>
    <w:rsid w:val="00CD0E7B"/>
    <w:rsid w:val="00CD2ABD"/>
    <w:rsid w:val="00CD4024"/>
    <w:rsid w:val="00CD4617"/>
    <w:rsid w:val="00CD4855"/>
    <w:rsid w:val="00CE0A75"/>
    <w:rsid w:val="00CE6D43"/>
    <w:rsid w:val="00CE780C"/>
    <w:rsid w:val="00CE7888"/>
    <w:rsid w:val="00D0706D"/>
    <w:rsid w:val="00D10E1C"/>
    <w:rsid w:val="00D161A3"/>
    <w:rsid w:val="00D17B33"/>
    <w:rsid w:val="00D22E49"/>
    <w:rsid w:val="00D23716"/>
    <w:rsid w:val="00D25ED8"/>
    <w:rsid w:val="00D27F8F"/>
    <w:rsid w:val="00D316B8"/>
    <w:rsid w:val="00D31CFC"/>
    <w:rsid w:val="00D3255D"/>
    <w:rsid w:val="00D340C3"/>
    <w:rsid w:val="00D34E39"/>
    <w:rsid w:val="00D409CD"/>
    <w:rsid w:val="00D423D4"/>
    <w:rsid w:val="00D42CAF"/>
    <w:rsid w:val="00D441AD"/>
    <w:rsid w:val="00D476CB"/>
    <w:rsid w:val="00D5310F"/>
    <w:rsid w:val="00D5468B"/>
    <w:rsid w:val="00D601EF"/>
    <w:rsid w:val="00D61533"/>
    <w:rsid w:val="00D63B2F"/>
    <w:rsid w:val="00D70747"/>
    <w:rsid w:val="00D7261D"/>
    <w:rsid w:val="00D755FC"/>
    <w:rsid w:val="00D761E3"/>
    <w:rsid w:val="00D76B6D"/>
    <w:rsid w:val="00D84D07"/>
    <w:rsid w:val="00D8526A"/>
    <w:rsid w:val="00D90E91"/>
    <w:rsid w:val="00DA7008"/>
    <w:rsid w:val="00DB60E1"/>
    <w:rsid w:val="00DC1347"/>
    <w:rsid w:val="00DC1DBE"/>
    <w:rsid w:val="00DC39F1"/>
    <w:rsid w:val="00DC6EB2"/>
    <w:rsid w:val="00DE06C8"/>
    <w:rsid w:val="00DE4B35"/>
    <w:rsid w:val="00DF19C1"/>
    <w:rsid w:val="00DF4F50"/>
    <w:rsid w:val="00DF54CA"/>
    <w:rsid w:val="00DF56C9"/>
    <w:rsid w:val="00DF5B64"/>
    <w:rsid w:val="00E02794"/>
    <w:rsid w:val="00E043E3"/>
    <w:rsid w:val="00E0505B"/>
    <w:rsid w:val="00E06332"/>
    <w:rsid w:val="00E07F7A"/>
    <w:rsid w:val="00E11280"/>
    <w:rsid w:val="00E12359"/>
    <w:rsid w:val="00E152FF"/>
    <w:rsid w:val="00E2268D"/>
    <w:rsid w:val="00E2461B"/>
    <w:rsid w:val="00E24886"/>
    <w:rsid w:val="00E24DCD"/>
    <w:rsid w:val="00E276FB"/>
    <w:rsid w:val="00E32595"/>
    <w:rsid w:val="00E32DC6"/>
    <w:rsid w:val="00E33A74"/>
    <w:rsid w:val="00E4030B"/>
    <w:rsid w:val="00E41D56"/>
    <w:rsid w:val="00E457DF"/>
    <w:rsid w:val="00E46642"/>
    <w:rsid w:val="00E5139A"/>
    <w:rsid w:val="00E5413D"/>
    <w:rsid w:val="00E57977"/>
    <w:rsid w:val="00E621AF"/>
    <w:rsid w:val="00E62E30"/>
    <w:rsid w:val="00E635D7"/>
    <w:rsid w:val="00E64FB0"/>
    <w:rsid w:val="00E70576"/>
    <w:rsid w:val="00E71DED"/>
    <w:rsid w:val="00E72096"/>
    <w:rsid w:val="00E72FF9"/>
    <w:rsid w:val="00E83954"/>
    <w:rsid w:val="00E86506"/>
    <w:rsid w:val="00E91730"/>
    <w:rsid w:val="00E95B50"/>
    <w:rsid w:val="00E96F04"/>
    <w:rsid w:val="00E97AEC"/>
    <w:rsid w:val="00EA0FA7"/>
    <w:rsid w:val="00EA20FE"/>
    <w:rsid w:val="00EB491E"/>
    <w:rsid w:val="00EB681B"/>
    <w:rsid w:val="00EB70A6"/>
    <w:rsid w:val="00EC4FAD"/>
    <w:rsid w:val="00EE3CFA"/>
    <w:rsid w:val="00EE69E4"/>
    <w:rsid w:val="00EF0CBA"/>
    <w:rsid w:val="00EF29F6"/>
    <w:rsid w:val="00EF2A7F"/>
    <w:rsid w:val="00EF53B3"/>
    <w:rsid w:val="00EF6A2F"/>
    <w:rsid w:val="00EF6B37"/>
    <w:rsid w:val="00EF7E90"/>
    <w:rsid w:val="00F002B6"/>
    <w:rsid w:val="00F10AFE"/>
    <w:rsid w:val="00F12FE8"/>
    <w:rsid w:val="00F15C6C"/>
    <w:rsid w:val="00F17173"/>
    <w:rsid w:val="00F20987"/>
    <w:rsid w:val="00F21F7E"/>
    <w:rsid w:val="00F224DC"/>
    <w:rsid w:val="00F2687F"/>
    <w:rsid w:val="00F26A5E"/>
    <w:rsid w:val="00F27F29"/>
    <w:rsid w:val="00F32D54"/>
    <w:rsid w:val="00F36C54"/>
    <w:rsid w:val="00F418EA"/>
    <w:rsid w:val="00F41A29"/>
    <w:rsid w:val="00F44C1C"/>
    <w:rsid w:val="00F518DF"/>
    <w:rsid w:val="00F544DB"/>
    <w:rsid w:val="00F570EF"/>
    <w:rsid w:val="00F648EA"/>
    <w:rsid w:val="00F6502E"/>
    <w:rsid w:val="00F65663"/>
    <w:rsid w:val="00F75147"/>
    <w:rsid w:val="00F756C0"/>
    <w:rsid w:val="00F75A40"/>
    <w:rsid w:val="00F77637"/>
    <w:rsid w:val="00F8435D"/>
    <w:rsid w:val="00F862E5"/>
    <w:rsid w:val="00F87DD0"/>
    <w:rsid w:val="00F93360"/>
    <w:rsid w:val="00F93FE4"/>
    <w:rsid w:val="00F96A13"/>
    <w:rsid w:val="00F97E4E"/>
    <w:rsid w:val="00FA1A40"/>
    <w:rsid w:val="00FA1D6E"/>
    <w:rsid w:val="00FA217B"/>
    <w:rsid w:val="00FA4308"/>
    <w:rsid w:val="00FB0085"/>
    <w:rsid w:val="00FB0BC5"/>
    <w:rsid w:val="00FB0BCC"/>
    <w:rsid w:val="00FB6A3A"/>
    <w:rsid w:val="00FB7F70"/>
    <w:rsid w:val="00FC0FE5"/>
    <w:rsid w:val="00FC6D2A"/>
    <w:rsid w:val="00FD1ABC"/>
    <w:rsid w:val="00FD5FF3"/>
    <w:rsid w:val="00FD7414"/>
    <w:rsid w:val="00FD7DDF"/>
    <w:rsid w:val="00FE4C92"/>
    <w:rsid w:val="00FE5689"/>
    <w:rsid w:val="00FF0FAA"/>
    <w:rsid w:val="00FF3759"/>
    <w:rsid w:val="00F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,"/>
  <w15:docId w15:val="{4CDE36E7-4004-4474-BBB5-374DB3F33C96}"/>
  <w:attachedTemplate r:id="relationI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en-GB" w:bidi="en-GB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locked="1" w:semiHidden="1" w:uiPriority="0" w:unhideWhenUsed="1" w:qFormat="1"/>
    <w:lsdException w:name="footer" w:locked="1" w:semiHidden="1" w:uiPriority="0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0BF"/>
    <w:pPr>
      <w:spacing w:line="288" w:lineRule="auto"/>
      <w:jc w:val="both"/>
    </w:pPr>
    <w:rPr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7E50BF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7E50BF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7E50BF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7E50BF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7E50BF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7E50BF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7E50BF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E50BF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7E50BF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CB1536"/>
    <w:rPr>
      <w:kern w:val="28"/>
      <w:lang w:val="cs-CZ" w:eastAsia="en-US" w:bidi="ar-SA"/>
    </w:rPr>
  </w:style>
  <w:style w:type="character" w:customStyle="1" w:styleId="Heading2Char">
    <w:name w:val="Heading 2 Char"/>
    <w:basedOn w:val="DefaultParagraphFont"/>
    <w:link w:val="Heading2"/>
    <w:locked/>
    <w:rsid w:val="00CB1536"/>
    <w:rPr>
      <w:lang w:val="cs-CZ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CB1536"/>
    <w:rPr>
      <w:lang w:val="cs-CZ" w:eastAsia="en-US" w:bidi="ar-SA"/>
    </w:rPr>
  </w:style>
  <w:style w:type="character" w:customStyle="1" w:styleId="Heading4Char">
    <w:name w:val="Heading 4 Char"/>
    <w:basedOn w:val="DefaultParagraphFont"/>
    <w:link w:val="Heading4"/>
    <w:locked/>
    <w:rsid w:val="00CB1536"/>
    <w:rPr>
      <w:lang w:val="cs-CZ" w:eastAsia="en-US" w:bidi="ar-SA"/>
    </w:rPr>
  </w:style>
  <w:style w:type="character" w:customStyle="1" w:styleId="Heading5Char">
    <w:name w:val="Heading 5 Char"/>
    <w:basedOn w:val="DefaultParagraphFont"/>
    <w:link w:val="Heading5"/>
    <w:locked/>
    <w:rsid w:val="00CB1536"/>
    <w:rPr>
      <w:lang w:val="cs-CZ" w:eastAsia="en-US" w:bidi="ar-SA"/>
    </w:rPr>
  </w:style>
  <w:style w:type="character" w:customStyle="1" w:styleId="Heading6Char">
    <w:name w:val="Heading 6 Char"/>
    <w:basedOn w:val="DefaultParagraphFont"/>
    <w:link w:val="Heading6"/>
    <w:locked/>
    <w:rsid w:val="00CB1536"/>
    <w:rPr>
      <w:lang w:val="cs-CZ" w:eastAsia="en-US" w:bidi="ar-SA"/>
    </w:rPr>
  </w:style>
  <w:style w:type="character" w:customStyle="1" w:styleId="Heading7Char">
    <w:name w:val="Heading 7 Char"/>
    <w:basedOn w:val="DefaultParagraphFont"/>
    <w:link w:val="Heading7"/>
    <w:locked/>
    <w:rsid w:val="00CB1536"/>
    <w:rPr>
      <w:lang w:val="cs-CZ" w:eastAsia="en-US" w:bidi="ar-SA"/>
    </w:rPr>
  </w:style>
  <w:style w:type="character" w:customStyle="1" w:styleId="Heading8Char">
    <w:name w:val="Heading 8 Char"/>
    <w:basedOn w:val="DefaultParagraphFont"/>
    <w:link w:val="Heading8"/>
    <w:locked/>
    <w:rsid w:val="00CB1536"/>
    <w:rPr>
      <w:lang w:val="cs-CZ" w:eastAsia="en-US" w:bidi="ar-SA"/>
    </w:rPr>
  </w:style>
  <w:style w:type="character" w:customStyle="1" w:styleId="Heading9Char">
    <w:name w:val="Heading 9 Char"/>
    <w:basedOn w:val="DefaultParagraphFont"/>
    <w:link w:val="Heading9"/>
    <w:locked/>
    <w:rsid w:val="00CB1536"/>
    <w:rPr>
      <w:lang w:val="cs-CZ" w:eastAsia="en-US" w:bidi="ar-SA"/>
    </w:rPr>
  </w:style>
  <w:style w:type="paragraph" w:styleId="Footer">
    <w:name w:val="footer"/>
    <w:basedOn w:val="Normal"/>
    <w:link w:val="FooterChar"/>
    <w:qFormat/>
    <w:rsid w:val="007E50BF"/>
  </w:style>
  <w:style w:type="character" w:customStyle="1" w:styleId="FooterChar">
    <w:name w:val="Footer Char"/>
    <w:basedOn w:val="DefaultParagraphFont"/>
    <w:link w:val="Footer"/>
    <w:locked/>
    <w:rsid w:val="00CB1536"/>
    <w:rPr>
      <w:lang w:eastAsia="en-US" w:bidi="ar-SA"/>
    </w:rPr>
  </w:style>
  <w:style w:type="paragraph" w:styleId="FootnoteText">
    <w:name w:val="footnote text"/>
    <w:aliases w:val="Schriftart: 9 pt,Schriftart: 10 pt,Schriftart: 8 pt,WB-Fußnotentext,FoodNote,ft,Footnote text,Footnote Text Char Char,Footnote Text Char1 Char Char,Footnote Text Char Char Char Char,fn,f,Footnotes,Footnote ak,C,Fußnotentextf"/>
    <w:basedOn w:val="Normal"/>
    <w:link w:val="FootnoteTextChar"/>
    <w:uiPriority w:val="99"/>
    <w:qFormat/>
    <w:rsid w:val="007E50BF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text Char,Footnote Text Char Char Char,Footnote Text Char1 Char Char Char,Footnote Text Char Char Char Char Char"/>
    <w:basedOn w:val="DefaultParagraphFont"/>
    <w:link w:val="FootnoteText"/>
    <w:uiPriority w:val="99"/>
    <w:qFormat/>
    <w:locked/>
    <w:rsid w:val="00CB1536"/>
    <w:rPr>
      <w:sz w:val="16"/>
      <w:lang w:val="cs-CZ" w:eastAsia="en-US" w:bidi="ar-SA"/>
    </w:rPr>
  </w:style>
  <w:style w:type="paragraph" w:styleId="Header">
    <w:name w:val="header"/>
    <w:basedOn w:val="Normal"/>
    <w:link w:val="HeaderChar"/>
    <w:qFormat/>
    <w:rsid w:val="007E50BF"/>
  </w:style>
  <w:style w:type="character" w:customStyle="1" w:styleId="HeaderChar">
    <w:name w:val="Header Char"/>
    <w:basedOn w:val="DefaultParagraphFont"/>
    <w:link w:val="Header"/>
    <w:locked/>
    <w:rsid w:val="00CB1536"/>
    <w:rPr>
      <w:lang w:eastAsia="en-US" w:bidi="ar-SA"/>
    </w:rPr>
  </w:style>
  <w:style w:type="character" w:styleId="Hyperlink">
    <w:name w:val="Hyperlink"/>
    <w:basedOn w:val="DefaultParagraphFont"/>
    <w:uiPriority w:val="99"/>
    <w:rsid w:val="00934C10"/>
    <w:rPr>
      <w:color w:val="0000FF"/>
      <w:u w:val="single"/>
    </w:rPr>
  </w:style>
  <w:style w:type="character" w:styleId="FootnoteReference">
    <w:name w:val="footnote reference"/>
    <w:aliases w:val="Footnote symbol,Footnote reference number,Footnote,Times 10 Point,Exposant 3 Point,Ref,de nota al pie,note TESI,SUPERS,EN Footnote Reference,EN Footnote text,-E Fußnotenzeichen,BVI fnr,Footnote number,Footnote Reference Number,FR"/>
    <w:basedOn w:val="DefaultParagraphFont"/>
    <w:link w:val="FootnotesymbolCarZchn"/>
    <w:uiPriority w:val="99"/>
    <w:unhideWhenUsed/>
    <w:qFormat/>
    <w:rsid w:val="007E50BF"/>
    <w:rPr>
      <w:sz w:val="24"/>
      <w:vertAlign w:val="superscript"/>
    </w:rPr>
  </w:style>
  <w:style w:type="character" w:styleId="FollowedHyperlink">
    <w:name w:val="FollowedHyperlink"/>
    <w:basedOn w:val="DefaultParagraphFont"/>
    <w:uiPriority w:val="99"/>
    <w:rsid w:val="00934C10"/>
    <w:rPr>
      <w:color w:val="800080"/>
      <w:u w:val="single"/>
    </w:rPr>
  </w:style>
  <w:style w:type="paragraph" w:customStyle="1" w:styleId="LOGO">
    <w:name w:val="LOGO"/>
    <w:basedOn w:val="Normal"/>
    <w:uiPriority w:val="99"/>
    <w:rsid w:val="00934C10"/>
    <w:pPr>
      <w:jc w:val="center"/>
    </w:pPr>
    <w:rPr>
      <w:rFonts w:ascii="Arial" w:hAnsi="Arial" w:cs="Arial"/>
      <w:b/>
      <w:bCs/>
      <w:i/>
      <w:iCs/>
      <w:sz w:val="20"/>
    </w:rPr>
  </w:style>
  <w:style w:type="paragraph" w:styleId="Revision">
    <w:name w:val="Revision"/>
    <w:hidden/>
    <w:uiPriority w:val="99"/>
    <w:semiHidden/>
    <w:rsid w:val="00B2372C"/>
  </w:style>
  <w:style w:type="paragraph" w:styleId="BalloonText">
    <w:name w:val="Balloon Text"/>
    <w:basedOn w:val="Normal"/>
    <w:link w:val="BalloonTextChar"/>
    <w:uiPriority w:val="99"/>
    <w:semiHidden/>
    <w:unhideWhenUsed/>
    <w:rsid w:val="007E50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0BF"/>
    <w:rPr>
      <w:rFonts w:ascii="Tahoma" w:hAnsi="Tahoma" w:cs="Tahoma"/>
      <w:sz w:val="16"/>
      <w:szCs w:val="16"/>
      <w:lang w:val="cs-CZ" w:eastAsia="en-US" w:bidi="ar-SA"/>
    </w:rPr>
  </w:style>
  <w:style w:type="paragraph" w:customStyle="1" w:styleId="quotes">
    <w:name w:val="quotes"/>
    <w:basedOn w:val="Normal"/>
    <w:next w:val="Normal"/>
    <w:rsid w:val="007E50BF"/>
    <w:pPr>
      <w:ind w:left="720"/>
    </w:pPr>
    <w:rPr>
      <w:i/>
    </w:rPr>
  </w:style>
  <w:style w:type="character" w:styleId="CommentReference">
    <w:name w:val="annotation reference"/>
    <w:basedOn w:val="DefaultParagraphFont"/>
    <w:semiHidden/>
    <w:unhideWhenUsed/>
    <w:rsid w:val="002D4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D4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D4F1D"/>
    <w:rPr>
      <w:sz w:val="20"/>
      <w:szCs w:val="20"/>
      <w:lang w:eastAsia="en-US" w:bidi="ar-SA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"/>
    <w:link w:val="FootnoteReference"/>
    <w:uiPriority w:val="99"/>
    <w:qFormat/>
    <w:rsid w:val="002D4F1D"/>
    <w:pPr>
      <w:spacing w:after="160" w:line="240" w:lineRule="exact"/>
    </w:pPr>
    <w:rPr>
      <w:sz w:val="24"/>
      <w:vertAlign w:val="superscript"/>
      <w:lang w:eastAsia="en-GB" w:bidi="en-GB"/>
    </w:rPr>
  </w:style>
  <w:style w:type="paragraph" w:styleId="ListParagraph">
    <w:name w:val="List Paragraph"/>
    <w:aliases w:val="Fiche List Paragraph,Dot pt,F5 List Paragraph,List Paragraph1,No Spacing1,List Paragraph Char Char Char,Indicator Text,Numbered Para 1,Bullet Points,MAIN CONTENT,List Paragraph12,Bullet 1,OBC Bullet,Colorful List - Accent 11,N,L"/>
    <w:basedOn w:val="Normal"/>
    <w:link w:val="ListParagraphChar"/>
    <w:uiPriority w:val="34"/>
    <w:qFormat/>
    <w:rsid w:val="00E72096"/>
    <w:pPr>
      <w:ind w:left="720"/>
      <w:contextualSpacing/>
    </w:pPr>
  </w:style>
  <w:style w:type="character" w:customStyle="1" w:styleId="ListParagraphChar">
    <w:name w:val="List Paragraph Char"/>
    <w:aliases w:val="Fiche List Paragraph Char,Dot pt Char,F5 List Paragraph Char,List Paragraph1 Char,No Spacing1 Char,List Paragraph Char Char Char Char,Indicator Text Char,Numbered Para 1 Char,Bullet Points Char,MAIN CONTENT Char,List Paragraph12 Char"/>
    <w:basedOn w:val="DefaultParagraphFont"/>
    <w:link w:val="ListParagraph"/>
    <w:uiPriority w:val="34"/>
    <w:qFormat/>
    <w:locked/>
    <w:rsid w:val="00E72096"/>
    <w:rPr>
      <w:lang w:eastAsia="en-US" w:bidi="ar-SA"/>
    </w:rPr>
  </w:style>
  <w:style w:type="table" w:styleId="TableGrid">
    <w:name w:val="Table Grid"/>
    <w:basedOn w:val="TableNormal"/>
    <w:locked/>
    <w:rsid w:val="00FB0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9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ntTable" Target="fontTable.xml"/><Relationship Id="rId32" Type="http://schemas.openxmlformats.org/officeDocument/2006/relationships/customXml" Target="../customXml/item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microsoft.com/office/2016/09/relationships/commentsIds" Target="commentsIds.xml"/><Relationship Id="rId30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uriserv%3AOJ.C_.2021.286.01.0008.01.CES&amp;toc=OJ%3AC%3A2021%3A286%3ATOC" TargetMode="External"/><Relationship Id="rId1" Type="http://schemas.openxmlformats.org/officeDocument/2006/relationships/hyperlink" Target="https://eur-lex.europa.eu/legal-content/CS/TXT/?uri=OJ:C:2018:440:TOC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Normal.dotm" TargetMode="External" Id="relationI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BC3D2D1EF63C7B4BA734CC92C084744E" ma:contentTypeVersion="5" ma:contentTypeDescription="Defines the documents for Document Manager V2" ma:contentTypeScope="" ma:versionID="8b7b4f8c6f2d5555127880b46a91b816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41556846-9ee7-457c-85d1-9e13f59df375" targetNamespace="http://schemas.microsoft.com/office/2006/metadata/properties" ma:root="true" ma:fieldsID="b80fb9c4ac9e4accf0efcf3bf43879d3" ns2:_="" ns3:_="" ns4:_="">
    <xsd:import namespace="01cfe264-354f-4f3f-acd0-cf26eb309336"/>
    <xsd:import namespace="http://schemas.microsoft.com/sharepoint/v3/fields"/>
    <xsd:import namespace="41556846-9ee7-457c-85d1-9e13f59df37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  <xsd:element ref="ns2:OriginalSen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  <xsd:element name="OriginalSender" ma:index="47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56846-9ee7-457c-85d1-9e13f59df37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V63NAVDT5PV3-2031897445-8427</_dlc_DocId>
    <_dlc_DocIdUrl xmlns="01cfe264-354f-4f3f-acd0-cf26eb309336">
      <Url>http://dm2016/eesc/2021/_layouts/15/DocIdRedir.aspx?ID=V63NAVDT5PV3-2031897445-8427</Url>
      <Description>V63NAVDT5PV3-2031897445-8427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</TermName>
          <TermId xmlns="http://schemas.microsoft.com/office/infopath/2007/PartnerControls">a4cc1d15-fb08-4679-ad46-e4e0cba5fe92</TermId>
        </TermInfo>
      </Terms>
    </DocumentType_0>
    <Procedure xmlns="01cfe264-354f-4f3f-acd0-cf26eb309336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2021-07-29T12:00:00+00:00</ProductionDate>
    <DocumentNumber xmlns="41556846-9ee7-457c-85d1-9e13f59df375">1530</DocumentNumber>
    <FicheYear xmlns="01cfe264-354f-4f3f-acd0-cf26eb309336" xsi:nil="true"/>
    <DocumentVersion xmlns="01cfe264-354f-4f3f-acd0-cf26eb309336">1</DocumentVersion>
    <DossierNumber xmlns="01cfe264-354f-4f3f-acd0-cf26eb309336">933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 xsi:nil="true"/>
    <TaxCatchAll xmlns="01cfe264-354f-4f3f-acd0-cf26eb309336">
      <Value>86</Value>
      <Value>66</Value>
      <Value>58</Value>
      <Value>45</Value>
      <Value>42</Value>
      <Value>41</Value>
      <Value>40</Value>
      <Value>39</Value>
      <Value>38</Value>
      <Value>37</Value>
      <Value>35</Value>
      <Value>31</Value>
      <Value>28</Value>
      <Value>25</Value>
      <Value>21</Value>
      <Value>19</Value>
      <Value>18</Value>
      <Value>17</Value>
      <Value>16</Value>
      <Value>15</Value>
      <Value>14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</Terms>
    </DocumentLanguage_0>
    <Rapporteur xmlns="01cfe264-354f-4f3f-acd0-cf26eb309336">LOBO XAVIER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9901</FicheNumber>
    <OriginalSender xmlns="01cfe264-354f-4f3f-acd0-cf26eb309336">
      <UserInfo>
        <DisplayName>Kupcakova Linda</DisplayName>
        <AccountId>1931</AccountId>
        <AccountType/>
      </UserInfo>
    </OriginalSender>
    <DocumentPart xmlns="01cfe264-354f-4f3f-acd0-cf26eb309336">0</DocumentPart>
    <AdoptionDate xmlns="01cfe264-354f-4f3f-acd0-cf26eb309336">2021-07-07T12:00:00+00:00</AdoptionDate>
    <RequestingService xmlns="01cfe264-354f-4f3f-acd0-cf26eb309336">Marché unique, production, consommation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1556846-9ee7-457c-85d1-9e13f59df375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</TermName>
          <TermId xmlns="http://schemas.microsoft.com/office/infopath/2007/PartnerControls">e1edfecb-ed43-427b-bb02-d45fe6645386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7ED41586-051D-46D7-90C9-9998295083A5}"/>
</file>

<file path=customXml/itemProps2.xml><?xml version="1.0" encoding="utf-8"?>
<ds:datastoreItem xmlns:ds="http://schemas.openxmlformats.org/officeDocument/2006/customXml" ds:itemID="{5B750AAE-8F39-420C-AAF8-5534676AF7FE}"/>
</file>

<file path=customXml/itemProps3.xml><?xml version="1.0" encoding="utf-8"?>
<ds:datastoreItem xmlns:ds="http://schemas.openxmlformats.org/officeDocument/2006/customXml" ds:itemID="{8F65D91F-21FC-41E1-86DD-163D43FB206F}"/>
</file>

<file path=customXml/itemProps4.xml><?xml version="1.0" encoding="utf-8"?>
<ds:datastoreItem xmlns:ds="http://schemas.openxmlformats.org/officeDocument/2006/customXml" ds:itemID="{60371FFB-49D5-4D49-B73E-123261004E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2990</Words>
  <Characters>18043</Characters>
  <Application>Microsoft Office Word</Application>
  <DocSecurity>0</DocSecurity>
  <Lines>150</Lines>
  <Paragraphs>41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Digitální cíle do roku 2030</vt:lpstr>
      <vt:lpstr>2030 Digital Targets</vt:lpstr>
      <vt:lpstr>European Agenda on Migration: Second implementation package - A permanent crisis relocation mechanism under the Dublin system</vt:lpstr>
    </vt:vector>
  </TitlesOfParts>
  <Company>CESE-CdR</Company>
  <LinksUpToDate>false</LinksUpToDate>
  <CharactersWithSpaces>20992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Digitální cíle do roku 2030</dc:title>
  <dc:subject>AC</dc:subject>
  <dc:creator>Tomas Vocasek</dc:creator>
  <cp:keywords>EESC-2021-01530-00-01-AC-TRA-EN</cp:keywords>
  <dc:description>Rapporteur: LOBO XAVIER - Original language: EN - Date of document: 29/07/2021 - Date of meeting:  - External documents: COM(2021)118-final - Administrator: MME TETU Alice</dc:description>
  <cp:lastModifiedBy>Kupcakova Linda</cp:lastModifiedBy>
  <cp:revision>4</cp:revision>
  <cp:lastPrinted>2016-01-26T08:31:00Z</cp:lastPrinted>
  <dcterms:created xsi:type="dcterms:W3CDTF">2021-07-29T07:25:00Z</dcterms:created>
  <dcterms:modified xsi:type="dcterms:W3CDTF">2021-07-29T07:28:00Z</dcterms:modified>
  <cp:category>INT/933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09/07/2021, 16/06/2021, 16/06/2021, 08/06/2021, 28/05/2021, 04/11/2015, 27/10/2015, 19/10/2015, 09/10/2015, 05/10/2015, 05/10/2015, 26/08/2015, 26/08/2015, 25/08/2015</vt:lpwstr>
  </property>
  <property fmtid="{D5CDD505-2E9C-101B-9397-08002B2CF9AE}" pid="4" name="Pref_Time">
    <vt:lpwstr>10:38:18, 12:08:45, 11:50:43, 11:23:42, 11:01:38, 12/10/07, 14:44:02, 16/04/16, 14:09:30, 16:24:55, 16:04:02, 08:56:14, 07:27:56, 17:31:53</vt:lpwstr>
  </property>
  <property fmtid="{D5CDD505-2E9C-101B-9397-08002B2CF9AE}" pid="5" name="Pref_User">
    <vt:lpwstr>hnic, hnic, YMUR, amett, hnic, ssex, enied, amett, tvoc, mreg, mreg, amett, enied, ssex</vt:lpwstr>
  </property>
  <property fmtid="{D5CDD505-2E9C-101B-9397-08002B2CF9AE}" pid="6" name="Pref_FileName">
    <vt:lpwstr>EESC-2021-01530-00-00-AC-ORI.docx, EESC-2021-01530-00-00-AS-TRA-EN-CRR.docx, EESC-2021-01530-00-00-AS-CRR-EN.docx, EESC-2021-01530-00-01-PA-ORI.docx, EESC-2021-01530-00-00-PA-ORI.docx, EESC-2015-05408-00-00-PA-CRR-EN.docx, EESC-2015-05408-00-01-APA-ORI.do</vt:lpwstr>
  </property>
  <property fmtid="{D5CDD505-2E9C-101B-9397-08002B2CF9AE}" pid="7" name="ContentTypeId">
    <vt:lpwstr>0x010100EA97B91038054C99906057A708A1480A00BC3D2D1EF63C7B4BA734CC92C084744E</vt:lpwstr>
  </property>
  <property fmtid="{D5CDD505-2E9C-101B-9397-08002B2CF9AE}" pid="8" name="_dlc_DocIdItemGuid">
    <vt:lpwstr>6df8a951-2ced-44d9-9044-52545ad01228</vt:lpwstr>
  </property>
  <property fmtid="{D5CDD505-2E9C-101B-9397-08002B2CF9AE}" pid="9" name="AvailableTranslations">
    <vt:lpwstr>12;#DA|5d49c027-8956-412b-aa16-e85a0f96ad0e;#66;#GA|762d2456-c427-4ecb-b312-af3dad8e258c;#13;#PT|50ccc04a-eadd-42ae-a0cb-acaf45f812ba;#15;#LT|a7ff5ce7-6123-4f68-865a-a57c31810414;#11;#DE|f6b31e5a-26fa-4935-b661-318e46daf27e;#35;#PL|1e03da61-4678-4e07-b136-b5024ca9197b;#39;#SL|98a412ae-eb01-49e9-ae3d-585a81724cfc;#37;#EL|6d4f4d51-af9b-4650-94b4-4276bee85c91;#25;#CS|72f9705b-0217-4fd3-bea2-cbc7ed80e26e;#45;#RO|feb747a2-64cd-4299-af12-4833ddc30497;#4;#FR|d2afafd3-4c81-4f60-8f52-ee33f2f54ff3;#41;#BG|1a1b3951-7821-4e6a-85f5-5673fc08bd2c;#18;#LV|46f7e311-5d9f-4663-b433-18aeccb7ace7;#42;#FI|87606a43-d45f-42d6-b8c9-e1a3457db5b7;#40;#SV|c2ed69e7-a339-43d7-8f22-d93680a92aa0;#38;#HR|2f555653-ed1a-4fe6-8362-9082d95989e5;#16;#IT|0774613c-01ed-4e5d-a25d-11d2388de825;#14;#ET|ff6c3f4c-b02c-4c3c-ab07-2c37995a7a0a;#21;#HU|6b229040-c589-4408-b4c1-4285663d20a8;#58;#MT|7df99101-6854-4a26-b53a-b88c0da02c26;#28;#ES|e7a6b05b-ae16-40c8-add9-68b64b03aeba;#9;#EN|f2175f21-25d7-44a3-96da-d6a61b075e1b;#19;#SK|46d9fce0-ef79-4f71-b89b-cd6aa82426b8;#17;#NL|55c6556c-b4f4-441d-9acf-c498d4f838bd</vt:lpwstr>
  </property>
  <property fmtid="{D5CDD505-2E9C-101B-9397-08002B2CF9AE}" pid="10" name="DocumentType_0">
    <vt:lpwstr>AC|a4cc1d15-fb08-4679-ad46-e4e0cba5fe92</vt:lpwstr>
  </property>
  <property fmtid="{D5CDD505-2E9C-101B-9397-08002B2CF9AE}" pid="11" name="DossierName_0">
    <vt:lpwstr>INT|e1edfecb-ed43-427b-bb02-d45fe6645386</vt:lpwstr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1530</vt:i4>
  </property>
  <property fmtid="{D5CDD505-2E9C-101B-9397-08002B2CF9AE}" pid="14" name="DocumentVersion">
    <vt:i4>1</vt:i4>
  </property>
  <property fmtid="{D5CDD505-2E9C-101B-9397-08002B2CF9AE}" pid="15" name="DossierNumber">
    <vt:i4>933</vt:i4>
  </property>
  <property fmtid="{D5CDD505-2E9C-101B-9397-08002B2CF9AE}" pid="16" name="DocumentStatus">
    <vt:lpwstr>7;#TRA|150d2a88-1431-44e6-a8ca-0bb753ab8672</vt:lpwstr>
  </property>
  <property fmtid="{D5CDD505-2E9C-101B-9397-08002B2CF9AE}" pid="17" name="DocumentPart">
    <vt:i4>0</vt:i4>
  </property>
  <property fmtid="{D5CDD505-2E9C-101B-9397-08002B2CF9AE}" pid="18" name="DossierName">
    <vt:lpwstr>31;#INT|e1edfecb-ed43-427b-bb02-d45fe6645386</vt:lpwstr>
  </property>
  <property fmtid="{D5CDD505-2E9C-101B-9397-08002B2CF9AE}" pid="19" name="DocumentSource">
    <vt:lpwstr>1;#EESC|422833ec-8d7e-4e65-8e4e-8bed07ffb729</vt:lpwstr>
  </property>
  <property fmtid="{D5CDD505-2E9C-101B-9397-08002B2CF9AE}" pid="20" name="AdoptionDate">
    <vt:filetime>2021-07-07T12:00:00Z</vt:filetime>
  </property>
  <property fmtid="{D5CDD505-2E9C-101B-9397-08002B2CF9AE}" pid="21" name="DocumentType">
    <vt:lpwstr>86;#AC|a4cc1d15-fb08-4679-ad46-e4e0cba5fe92</vt:lpwstr>
  </property>
  <property fmtid="{D5CDD505-2E9C-101B-9397-08002B2CF9AE}" pid="22" name="RequestingService">
    <vt:lpwstr>Marché unique, production, consommation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9;#EN|f2175f21-25d7-44a3-96da-d6a61b075e1b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DA|5d49c027-8956-412b-aa16-e85a0f96ad0e;PT|50ccc04a-eadd-42ae-a0cb-acaf45f812ba;DE|f6b31e5a-26fa-4935-b661-318e46daf27e;EL|6d4f4d51-af9b-4650-94b4-4276bee85c91;SV|c2ed69e7-a339-43d7-8f22-d93680a92aa0;HR|2f555653-ed1a-4fe6-8362-9082d95989e5;IT|0774613c-01ed-4e5d-a25d-11d2388de825;MT|7df99101-6854-4a26-b53a-b88c0da02c26;ES|e7a6b05b-ae16-40c8-add9-68b64b03aeba;EN|f2175f21-25d7-44a3-96da-d6a61b075e1b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31;#INT|e1edfecb-ed43-427b-bb02-d45fe6645386;#28;#ES|e7a6b05b-ae16-40c8-add9-68b64b03aeba;#38;#HR|2f555653-ed1a-4fe6-8362-9082d95989e5;#86;#AC|a4cc1d15-fb08-4679-ad46-e4e0cba5fe92;#58;#MT|7df99101-6854-4a26-b53a-b88c0da02c26;#16;#IT|0774613c-01ed-4e5d-a25d-11d2388de825;#13;#PT|50ccc04a-eadd-42ae-a0cb-acaf45f812ba;#12;#DA|5d49c027-8956-412b-aa16-e85a0f96ad0e;#11;#DE|f6b31e5a-26fa-4935-b661-318e46daf27e;#9;#EN|f2175f21-25d7-44a3-96da-d6a61b075e1b;#7;#TRA|150d2a88-1431-44e6-a8ca-0bb753ab8672;#6;#Final|ea5e6674-7b27-4bac-b091-73adbb394efe;#5;#Unrestricted|826e22d7-d029-4ec0-a450-0c28ff673572;#40;#SV|c2ed69e7-a339-43d7-8f22-d93680a92aa0;#1;#EESC|422833ec-8d7e-4e65-8e4e-8bed07ffb729;#37;#EL|6d4f4d51-af9b-4650-94b4-4276bee85c91</vt:lpwstr>
  </property>
  <property fmtid="{D5CDD505-2E9C-101B-9397-08002B2CF9AE}" pid="33" name="Rapporteur">
    <vt:lpwstr>LOBO XAVIER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2021</vt:i4>
  </property>
  <property fmtid="{D5CDD505-2E9C-101B-9397-08002B2CF9AE}" pid="37" name="FicheNumber">
    <vt:i4>9901</vt:i4>
  </property>
  <property fmtid="{D5CDD505-2E9C-101B-9397-08002B2CF9AE}" pid="38" name="DocumentLanguage">
    <vt:lpwstr>25;#CS|72f9705b-0217-4fd3-bea2-cbc7ed80e26e</vt:lpwstr>
  </property>
</Properties>
</file>