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54BA9" w:rsidR="00646AC2" w:rsidP="004F5B42" w:rsidRDefault="00770FA3">
      <w:pPr>
        <w:jc w:val="center"/>
      </w:pPr>
      <w:r>
        <w:rPr>
          <w:noProof/>
          <w:lang w:val="en-US"/>
        </w:rPr>
        <w:drawing>
          <wp:inline distT="0" distB="0" distL="0" distR="0">
            <wp:extent cx="1792605" cy="1239520"/>
            <wp:effectExtent l="0" t="0" r="0" b="0"/>
            <wp:docPr id="1" name="Picture 1" title="EESCLogo_H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editId="15FE452D" wp14:anchorId="131133D6">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C1DB1" w:rsidRDefault="002C1DB1">
                            <w:pPr>
                              <w:jc w:val="center"/>
                              <w:rPr>
                                <w:rFonts w:ascii="Arial" w:hAnsi="Arial" w:cs="Arial"/>
                                <w:b/>
                                <w:bCs/>
                                <w:sz w:val="48"/>
                              </w:rPr>
                            </w:pPr>
                            <w:r>
                              <w:rPr>
                                <w:rFonts w:ascii="Arial" w:hAnsi="Arial"/>
                                <w:b/>
                                <w:bCs/>
                                <w:sz w:val="48"/>
                              </w:rPr>
                              <w:t>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31133D6">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C1DB1" w:rsidRDefault="002C1DB1">
                      <w:pPr>
                        <w:jc w:val="center"/>
                        <w:rPr>
                          <w:rFonts w:ascii="Arial" w:hAnsi="Arial" w:cs="Arial"/>
                          <w:b/>
                          <w:bCs/>
                          <w:sz w:val="48"/>
                        </w:rPr>
                      </w:pPr>
                      <w:r>
                        <w:rPr>
                          <w:rFonts w:ascii="Arial" w:hAnsi="Arial"/>
                          <w:b/>
                          <w:bCs/>
                          <w:sz w:val="48"/>
                        </w:rPr>
                        <w:t>HR</w:t>
                      </w:r>
                    </w:p>
                  </w:txbxContent>
                </v:textbox>
                <w10:wrap anchorx="page" anchory="page"/>
              </v:shape>
            </w:pict>
          </mc:Fallback>
        </mc:AlternateContent>
      </w:r>
    </w:p>
    <w:p w:rsidRPr="00754BA9" w:rsidR="008C74D9" w:rsidP="004F5B42" w:rsidRDefault="008C74D9"/>
    <w:p w:rsidRPr="00754BA9" w:rsidR="00646AC2" w:rsidP="004F5B42" w:rsidRDefault="00FE5689">
      <w:pPr>
        <w:jc w:val="right"/>
      </w:pPr>
      <w:r>
        <w:rPr>
          <w:b/>
        </w:rPr>
        <w:t>INT/933</w:t>
      </w:r>
    </w:p>
    <w:p w:rsidRPr="00754BA9" w:rsidR="00563C84" w:rsidP="004F5B42" w:rsidRDefault="000D631B">
      <w:pPr>
        <w:jc w:val="right"/>
      </w:pPr>
      <w:r>
        <w:rPr>
          <w:b/>
        </w:rPr>
        <w:t>Digitalni ciljevi za razdoblje do 2030.</w:t>
      </w:r>
    </w:p>
    <w:p w:rsidRPr="00754BA9" w:rsidR="009B30AA" w:rsidP="004F5B42" w:rsidRDefault="009B30AA"/>
    <w:p w:rsidRPr="00754BA9" w:rsidR="009B30AA" w:rsidP="004F5B42" w:rsidRDefault="009B30AA"/>
    <w:p w:rsidRPr="00754BA9" w:rsidR="00BA65B1" w:rsidP="004F5B42" w:rsidRDefault="00F21F7E">
      <w:pPr>
        <w:jc w:val="center"/>
        <w:rPr>
          <w:b/>
        </w:rPr>
      </w:pPr>
      <w:r>
        <w:rPr>
          <w:b/>
          <w:sz w:val="28"/>
        </w:rPr>
        <w:t>MIŠLJENJE</w:t>
      </w:r>
      <w:r>
        <w:rPr>
          <w:b/>
          <w:sz w:val="28"/>
        </w:rPr>
        <w:br/>
      </w:r>
      <w:r>
        <w:rPr>
          <w:b/>
        </w:rPr>
        <w:br/>
      </w:r>
      <w:r>
        <w:t>Europski gospodarski i socijalni odbor</w:t>
      </w:r>
      <w:r>
        <w:br/>
      </w:r>
      <w:r>
        <w:rPr>
          <w:b/>
        </w:rPr>
        <w:br/>
        <w:t>Komunikacija Komisije Europskom parlamentu, Vijeću, Europskom gospodarskom i socijalnom odboru i Odboru regija</w:t>
      </w:r>
      <w:r>
        <w:rPr>
          <w:b/>
        </w:rPr>
        <w:br/>
        <w:t>Digitalni kompas 2030.: europski pristup za digitalno desetljeće</w:t>
      </w:r>
    </w:p>
    <w:p w:rsidRPr="00754BA9" w:rsidR="00646AC2" w:rsidP="004F5B42" w:rsidRDefault="00563C84">
      <w:pPr>
        <w:jc w:val="center"/>
      </w:pPr>
      <w:r>
        <w:rPr>
          <w:b/>
        </w:rPr>
        <w:br/>
      </w:r>
      <w:r>
        <w:t xml:space="preserve">[COM(2021) 118 </w:t>
      </w:r>
      <w:proofErr w:type="spellStart"/>
      <w:r>
        <w:t>final</w:t>
      </w:r>
      <w:proofErr w:type="spellEnd"/>
      <w:r>
        <w:t>]</w:t>
      </w:r>
    </w:p>
    <w:p w:rsidRPr="00754BA9" w:rsidR="009B30AA" w:rsidP="004F5B42" w:rsidRDefault="009B30AA">
      <w:pPr>
        <w:jc w:val="center"/>
      </w:pPr>
    </w:p>
    <w:p w:rsidRPr="00754BA9" w:rsidR="00704FBB" w:rsidP="004F5B42" w:rsidRDefault="007F5E0D">
      <w:pPr>
        <w:jc w:val="center"/>
        <w:rPr>
          <w:b/>
        </w:rPr>
      </w:pPr>
      <w:r>
        <w:t xml:space="preserve">Izvjestitelj: </w:t>
      </w:r>
      <w:proofErr w:type="spellStart"/>
      <w:r>
        <w:rPr>
          <w:b/>
        </w:rPr>
        <w:t>Gonçalo</w:t>
      </w:r>
      <w:proofErr w:type="spellEnd"/>
      <w:r>
        <w:rPr>
          <w:b/>
        </w:rPr>
        <w:t xml:space="preserve"> LOBO XAVIER</w:t>
      </w:r>
    </w:p>
    <w:p w:rsidRPr="00754BA9" w:rsidR="00E32DC6" w:rsidP="004F5B42" w:rsidRDefault="00E32DC6"/>
    <w:p w:rsidRPr="00754BA9" w:rsidR="00E32DC6" w:rsidP="004F5B42" w:rsidRDefault="00E32DC6">
      <w:pPr>
        <w:sectPr w:rsidRPr="00754BA9" w:rsidR="00E32DC6" w:rsidSect="004F5B42">
          <w:footerReference w:type="default" r:id="rId13"/>
          <w:pgSz w:w="11907" w:h="16839" w:code="9"/>
          <w:pgMar w:top="1417" w:right="1417" w:bottom="1417" w:left="1417" w:header="709" w:footer="709" w:gutter="0"/>
          <w:pgNumType w:start="1"/>
          <w:cols w:space="720"/>
          <w:docGrid w:linePitch="299"/>
        </w:sectPr>
      </w:pPr>
    </w:p>
    <w:p w:rsidRPr="00754BA9" w:rsidR="0012220C" w:rsidP="004F5B42" w:rsidRDefault="0012220C"/>
    <w:tbl>
      <w:tblPr>
        <w:tblW w:w="0" w:type="auto"/>
        <w:tblLook w:val="04A0" w:firstRow="1" w:lastRow="0" w:firstColumn="1" w:lastColumn="0" w:noHBand="0" w:noVBand="1"/>
      </w:tblPr>
      <w:tblGrid>
        <w:gridCol w:w="3048"/>
        <w:gridCol w:w="6025"/>
      </w:tblGrid>
      <w:tr w:rsidRPr="00754BA9" w:rsidR="0011656A" w:rsidTr="00BA65B1">
        <w:tc>
          <w:tcPr>
            <w:tcW w:w="3055" w:type="dxa"/>
          </w:tcPr>
          <w:p w:rsidRPr="00754BA9" w:rsidR="0011656A" w:rsidP="004F5B42" w:rsidRDefault="004A5738">
            <w:pPr>
              <w:jc w:val="left"/>
            </w:pPr>
            <w:r>
              <w:t>Zahtjev za savjetovanje:</w:t>
            </w:r>
          </w:p>
        </w:tc>
        <w:tc>
          <w:tcPr>
            <w:tcW w:w="6018" w:type="dxa"/>
          </w:tcPr>
          <w:p w:rsidRPr="00754BA9" w:rsidR="0011656A" w:rsidP="004F5B42" w:rsidRDefault="00BA65B1">
            <w:pPr>
              <w:jc w:val="left"/>
            </w:pPr>
            <w:r>
              <w:t>Europska komisija, 21/04/2021</w:t>
            </w:r>
          </w:p>
        </w:tc>
      </w:tr>
      <w:tr w:rsidRPr="00754BA9" w:rsidR="0016503F" w:rsidTr="00BA65B1">
        <w:trPr>
          <w:trHeight w:val="251"/>
        </w:trPr>
        <w:tc>
          <w:tcPr>
            <w:tcW w:w="3055" w:type="dxa"/>
          </w:tcPr>
          <w:p w:rsidRPr="00754BA9" w:rsidR="0016503F" w:rsidP="004F5B42" w:rsidRDefault="0016503F">
            <w:pPr>
              <w:jc w:val="left"/>
            </w:pPr>
            <w:r>
              <w:t>Pravna osnova:</w:t>
            </w:r>
          </w:p>
        </w:tc>
        <w:tc>
          <w:tcPr>
            <w:tcW w:w="6018" w:type="dxa"/>
          </w:tcPr>
          <w:p w:rsidRPr="00754BA9" w:rsidR="0016503F" w:rsidP="004F5B42" w:rsidRDefault="0016503F">
            <w:pPr>
              <w:jc w:val="left"/>
            </w:pPr>
            <w:r>
              <w:t>članak 304. Ugovora o funkcioniranju Europske unije</w:t>
            </w:r>
          </w:p>
        </w:tc>
      </w:tr>
      <w:tr w:rsidRPr="00754BA9" w:rsidR="0016503F" w:rsidTr="007E50BF">
        <w:trPr>
          <w:trHeight w:val="250"/>
        </w:trPr>
        <w:tc>
          <w:tcPr>
            <w:tcW w:w="3085" w:type="dxa"/>
          </w:tcPr>
          <w:p w:rsidRPr="00754BA9" w:rsidR="0016503F" w:rsidP="004F5B42" w:rsidRDefault="0016503F">
            <w:pPr>
              <w:jc w:val="left"/>
            </w:pPr>
          </w:p>
        </w:tc>
        <w:tc>
          <w:tcPr>
            <w:tcW w:w="6202" w:type="dxa"/>
          </w:tcPr>
          <w:p w:rsidRPr="00754BA9" w:rsidR="0016503F" w:rsidP="004F5B42" w:rsidRDefault="0016503F">
            <w:pPr>
              <w:jc w:val="left"/>
            </w:pPr>
          </w:p>
        </w:tc>
      </w:tr>
      <w:tr w:rsidRPr="00754BA9" w:rsidR="00DF5B64" w:rsidTr="00BA65B1">
        <w:tc>
          <w:tcPr>
            <w:tcW w:w="3055" w:type="dxa"/>
          </w:tcPr>
          <w:p w:rsidRPr="00754BA9" w:rsidR="00DF5B64" w:rsidP="004F5B42" w:rsidRDefault="00AD4B4F">
            <w:pPr>
              <w:jc w:val="left"/>
            </w:pPr>
            <w:r>
              <w:t>Nadležna stručna skupina:</w:t>
            </w:r>
          </w:p>
        </w:tc>
        <w:tc>
          <w:tcPr>
            <w:tcW w:w="6018" w:type="dxa"/>
          </w:tcPr>
          <w:p w:rsidRPr="00754BA9" w:rsidR="00DF5B64" w:rsidP="004F5B42" w:rsidRDefault="00BA65B1">
            <w:pPr>
              <w:jc w:val="left"/>
            </w:pPr>
            <w:r>
              <w:t>Stručna skupina za jedinstveno tržište, proizvodnju i potrošnju</w:t>
            </w:r>
          </w:p>
        </w:tc>
      </w:tr>
      <w:tr w:rsidRPr="00754BA9" w:rsidR="00A156E6" w:rsidTr="00BA65B1">
        <w:tc>
          <w:tcPr>
            <w:tcW w:w="3055" w:type="dxa"/>
          </w:tcPr>
          <w:p w:rsidRPr="00754BA9" w:rsidR="00A156E6" w:rsidP="004F5B42" w:rsidRDefault="00A156E6">
            <w:pPr>
              <w:jc w:val="left"/>
            </w:pPr>
            <w:r>
              <w:t>Datum usvajanja u Stručnoj skupini:</w:t>
            </w:r>
          </w:p>
        </w:tc>
        <w:tc>
          <w:tcPr>
            <w:tcW w:w="6018" w:type="dxa"/>
          </w:tcPr>
          <w:p w:rsidRPr="00754BA9" w:rsidR="00A156E6" w:rsidP="004F5B42" w:rsidRDefault="007D4DB8">
            <w:pPr>
              <w:jc w:val="left"/>
            </w:pPr>
            <w:r>
              <w:t>15/06/2021</w:t>
            </w:r>
          </w:p>
        </w:tc>
      </w:tr>
      <w:tr w:rsidRPr="00754BA9" w:rsidR="00A156E6" w:rsidTr="00BA65B1">
        <w:tc>
          <w:tcPr>
            <w:tcW w:w="3055" w:type="dxa"/>
          </w:tcPr>
          <w:p w:rsidRPr="00754BA9" w:rsidR="00A156E6" w:rsidP="004F5B42" w:rsidRDefault="00A156E6">
            <w:pPr>
              <w:jc w:val="left"/>
            </w:pPr>
            <w:r>
              <w:t>Datum usvajanja na plenarnom zasjedanju:</w:t>
            </w:r>
          </w:p>
        </w:tc>
        <w:tc>
          <w:tcPr>
            <w:tcW w:w="6018" w:type="dxa"/>
          </w:tcPr>
          <w:p w:rsidRPr="00754BA9" w:rsidR="00A156E6" w:rsidP="004F5B42" w:rsidRDefault="00FB6A3A">
            <w:pPr>
              <w:jc w:val="left"/>
            </w:pPr>
            <w:r>
              <w:t>07/07/2021</w:t>
            </w:r>
          </w:p>
        </w:tc>
      </w:tr>
      <w:tr w:rsidRPr="00754BA9" w:rsidR="00BA1290" w:rsidTr="00BA65B1">
        <w:tc>
          <w:tcPr>
            <w:tcW w:w="3055" w:type="dxa"/>
          </w:tcPr>
          <w:p w:rsidRPr="00754BA9" w:rsidR="00BA1290" w:rsidP="004F5B42" w:rsidRDefault="00BA1290">
            <w:pPr>
              <w:jc w:val="left"/>
            </w:pPr>
            <w:r>
              <w:t>Plenarno zasjedanje br.:</w:t>
            </w:r>
          </w:p>
        </w:tc>
        <w:tc>
          <w:tcPr>
            <w:tcW w:w="6018" w:type="dxa"/>
          </w:tcPr>
          <w:p w:rsidRPr="00754BA9" w:rsidR="00BA1290" w:rsidP="004F5B42" w:rsidRDefault="00FB6A3A">
            <w:pPr>
              <w:jc w:val="left"/>
            </w:pPr>
            <w:r>
              <w:t>562</w:t>
            </w:r>
          </w:p>
        </w:tc>
      </w:tr>
      <w:tr w:rsidRPr="00754BA9" w:rsidR="00A156E6" w:rsidTr="00BA65B1">
        <w:tc>
          <w:tcPr>
            <w:tcW w:w="3055" w:type="dxa"/>
          </w:tcPr>
          <w:p w:rsidRPr="00754BA9" w:rsidR="00D423D4" w:rsidP="004F5B42" w:rsidRDefault="0043024C">
            <w:pPr>
              <w:jc w:val="left"/>
            </w:pPr>
            <w:r>
              <w:t>Rezultat glasanja</w:t>
            </w:r>
            <w:r>
              <w:br/>
              <w:t>(za/protiv/suzdržani):</w:t>
            </w:r>
          </w:p>
        </w:tc>
        <w:tc>
          <w:tcPr>
            <w:tcW w:w="6018" w:type="dxa"/>
            <w:vAlign w:val="bottom"/>
          </w:tcPr>
          <w:p w:rsidRPr="00754BA9" w:rsidR="00A156E6" w:rsidP="004F5B42" w:rsidRDefault="00136475">
            <w:pPr>
              <w:jc w:val="left"/>
            </w:pPr>
            <w:r>
              <w:t>207/0/3</w:t>
            </w:r>
          </w:p>
        </w:tc>
      </w:tr>
    </w:tbl>
    <w:p w:rsidRPr="00754BA9" w:rsidR="0090053A" w:rsidP="004F5B42" w:rsidRDefault="0090053A"/>
    <w:p w:rsidRPr="00754BA9" w:rsidR="00646AC2" w:rsidP="004F5B42" w:rsidRDefault="00646AC2">
      <w:r>
        <w:br w:type="page"/>
      </w:r>
    </w:p>
    <w:p w:rsidRPr="00754BA9" w:rsidR="00011D33" w:rsidP="004F5B42" w:rsidRDefault="00011D33">
      <w:pPr>
        <w:pStyle w:val="Heading1"/>
        <w:keepNext/>
        <w:rPr>
          <w:b/>
        </w:rPr>
      </w:pPr>
      <w:r>
        <w:rPr>
          <w:b/>
        </w:rPr>
        <w:lastRenderedPageBreak/>
        <w:t>Zaključci i preporuke</w:t>
      </w:r>
    </w:p>
    <w:p w:rsidRPr="00754BA9" w:rsidR="00011D33" w:rsidP="004F5B42" w:rsidRDefault="00011D33">
      <w:pPr>
        <w:keepNext/>
      </w:pPr>
    </w:p>
    <w:p w:rsidRPr="00754BA9" w:rsidR="002D4F1D" w:rsidP="004F5B42" w:rsidRDefault="002D4F1D">
      <w:pPr>
        <w:pStyle w:val="Heading2"/>
        <w:ind w:left="567" w:hanging="567"/>
      </w:pPr>
      <w:r>
        <w:t xml:space="preserve">Plan Europske komisije za Digitalni kompas za 2030. stiže u ključnom trenutku za Uniju i za cijeli svijet. EGSO pozdravlja inicijativu i cilj da se digitalne tehnologije upotrebljavaju za poboljšanje života građana, stvaranje novih radnih mjesta i olakšavanje napretka te jačanje europske konkurentnosti. </w:t>
      </w:r>
      <w:proofErr w:type="spellStart"/>
      <w:r>
        <w:t>Pandemija</w:t>
      </w:r>
      <w:proofErr w:type="spellEnd"/>
      <w:r>
        <w:t xml:space="preserve"> je naglasila važnost i mogućnosti digitalnog razvoja, istaknula potrebu za prilagodbama i promijenila način našeg druženja i rada. EU mora na pravi način odgovoriti na te izazove. Kako bi se namjere pretvorile u rezultate bitno je imati strategiju, plan s utvrđenim ciljevima i način mjerenja napretka.</w:t>
      </w:r>
    </w:p>
    <w:p w:rsidRPr="00754BA9" w:rsidR="00687720" w:rsidP="004F5B42" w:rsidRDefault="00687720">
      <w:pPr>
        <w:ind w:left="567" w:hanging="567"/>
      </w:pPr>
    </w:p>
    <w:p w:rsidRPr="00754BA9" w:rsidR="00687720" w:rsidP="004F5B42" w:rsidRDefault="00687720">
      <w:pPr>
        <w:pStyle w:val="Heading2"/>
        <w:ind w:left="567" w:hanging="567"/>
      </w:pPr>
      <w:r>
        <w:t>EGSO smatra da digitalne inovacije moraju uvijek štititi temeljna prava i osigurati svima zdravlje, sigurnost i privatnost (zaštita osobnih podataka). Ključno je da građani doživljavaju razvoj i rast kao pozitivan utjecaj na kvalitetu svog života. Učinci novih tehnologija koje podržavaju naš svakodnevni život moraju biti pozitivni i pravedno raspoređeni kako bi uistinu koristili društvu, a pravo na zdravlje uvijek mora prevladati i imati svoje mjesto među temeljnim pravima digitalnog građanstva.</w:t>
      </w:r>
    </w:p>
    <w:p w:rsidRPr="00754BA9" w:rsidR="00687720" w:rsidP="004F5B42" w:rsidRDefault="00687720">
      <w:pPr>
        <w:ind w:left="567" w:hanging="567"/>
      </w:pPr>
    </w:p>
    <w:p w:rsidRPr="00754BA9" w:rsidR="00687720" w:rsidP="004F5B42" w:rsidRDefault="00687720">
      <w:pPr>
        <w:pStyle w:val="Heading2"/>
        <w:ind w:left="567" w:hanging="567"/>
      </w:pPr>
      <w:r>
        <w:t xml:space="preserve">EGSO smatra da treba vratiti povjerenje javnosti i poboljšati </w:t>
      </w:r>
      <w:proofErr w:type="spellStart"/>
      <w:r>
        <w:t>kibersigurnost</w:t>
      </w:r>
      <w:proofErr w:type="spellEnd"/>
      <w:r>
        <w:t xml:space="preserve"> i </w:t>
      </w:r>
      <w:proofErr w:type="spellStart"/>
      <w:r>
        <w:t>kiberotpornost</w:t>
      </w:r>
      <w:proofErr w:type="spellEnd"/>
      <w:r>
        <w:t xml:space="preserve"> primjenom „integrirane sigurnosti” u cijelom digitalnom lancu vrijednosti, ljudima omogućiti bolji izbor i kontrolu nad njihovim podacima („etika podataka”) te uspostaviti odgovornost posrednika u borbi protiv ilegalnih i štetnih sadržaja.</w:t>
      </w:r>
    </w:p>
    <w:p w:rsidRPr="00754BA9" w:rsidR="00687720" w:rsidP="004F5B42" w:rsidRDefault="00687720">
      <w:pPr>
        <w:ind w:left="567" w:hanging="567"/>
      </w:pPr>
    </w:p>
    <w:p w:rsidRPr="00754BA9" w:rsidR="00897757" w:rsidP="004F5B42" w:rsidRDefault="00897757">
      <w:pPr>
        <w:pStyle w:val="Heading2"/>
        <w:ind w:left="567" w:hanging="567"/>
      </w:pPr>
      <w:r>
        <w:t>Internetska dostupnost svih ključnih europskih i nacionalnih javnih usluga opravdan je cilj. Ipak, EGSO upozorava da nitko ne smije biti zapostavljen te da je ključno podržati one koji ne mogu odmah ostvariti koristi od postupka digitalizacije. Još uvijek postoji značajna skupina građana kojima nedostaju znanje i vještine, pa čak i potreban hardver i softver, da bi mogli ostvariti koristi od tih mogućnosti. EGSO poziva Komisiju da pruži potporu onima koji su u postupku tranzicije.</w:t>
      </w:r>
    </w:p>
    <w:p w:rsidRPr="00754BA9" w:rsidR="00085704" w:rsidP="004F5B42" w:rsidRDefault="00085704">
      <w:pPr>
        <w:ind w:left="567" w:hanging="567"/>
      </w:pPr>
    </w:p>
    <w:p w:rsidRPr="00754BA9" w:rsidR="002D4F1D" w:rsidP="004F5B42" w:rsidRDefault="002D4F1D">
      <w:pPr>
        <w:pStyle w:val="Heading2"/>
        <w:ind w:left="567" w:hanging="567"/>
      </w:pPr>
      <w:r>
        <w:t>EGSO ističe ogroman rizik od nepovoljnog položaja u pogledu učenja do kojeg može doći zbog neuravnoteženih ulaganja. Valja imati na umu učinke digitalnog siromaštva na sve, od djece do starijih ljudi, te je stoga usredotočenost na stvarne rizike prioritet. Potrebno je istodobno ulagati u infrastrukturu i u osposobljavanje radi smanjenja razlika.</w:t>
      </w:r>
    </w:p>
    <w:p w:rsidRPr="00754BA9" w:rsidR="00FD5FF3" w:rsidP="004F5B42" w:rsidRDefault="00FD5FF3">
      <w:pPr>
        <w:ind w:left="567" w:hanging="567"/>
      </w:pPr>
    </w:p>
    <w:p w:rsidRPr="00754BA9" w:rsidR="00FD5FF3" w:rsidP="004F5B42" w:rsidRDefault="0037336E">
      <w:pPr>
        <w:pStyle w:val="Heading2"/>
        <w:ind w:left="567" w:hanging="567"/>
      </w:pPr>
      <w:r>
        <w:t>EGSO naglašava potrebu da se ljudima pomogne u usavršavanju i prekvalifikaciji. To bi se trebalo postići stvaranjem jednakih mogućnosti jačanjem javno-privatnih partnerstava za usavršavanje i prekvalifikaciju (i trenutne radne snage i odraslih učenika), promičući stav cjeloživotnog učenja za sve.</w:t>
      </w:r>
    </w:p>
    <w:p w:rsidRPr="00754BA9" w:rsidR="00687720" w:rsidP="004F5B42" w:rsidRDefault="00687720">
      <w:pPr>
        <w:ind w:left="567" w:hanging="567"/>
      </w:pPr>
    </w:p>
    <w:p w:rsidRPr="00754BA9" w:rsidR="00FD5FF3" w:rsidP="004F5B42" w:rsidRDefault="0037336E">
      <w:pPr>
        <w:pStyle w:val="Heading2"/>
        <w:ind w:left="567" w:hanging="567"/>
      </w:pPr>
      <w:r>
        <w:t>EGSO smatra da je potrebno modernizirati obrazovanje za digitalno društvo. Nužno je potaknuti digitalizaciju obrazovnih sustava prilagodbom obrazovnih sadržaja digitalnom dobu te stvoriti javno-privatne ekosustave za primjenu novih otvorenih i dostupnih metodologija obrazovanja kako bi se svima pružile iste mogućnosti.</w:t>
      </w:r>
    </w:p>
    <w:p w:rsidRPr="00754BA9" w:rsidR="009F0EFA" w:rsidP="004F5B42" w:rsidRDefault="009F0EFA"/>
    <w:p w:rsidRPr="00754BA9" w:rsidR="009F0EFA" w:rsidP="004F5B42" w:rsidRDefault="009F0EFA">
      <w:pPr>
        <w:pStyle w:val="Heading2"/>
        <w:ind w:left="567" w:hanging="567"/>
      </w:pPr>
      <w:r>
        <w:t>Digitalni razvoj uključuje rizike kao što su prijevare, kršenje privatnosti i nedostatak transparentnosti, koji bi mogli ugroziti ciljeve postavljene u dokumentu. EGSO smatra da se moraju stvoriti uvjeti za sprečavanje tih rizika i za reguliranje odgovornosti na razini EU-a.</w:t>
      </w:r>
    </w:p>
    <w:p w:rsidRPr="00754BA9" w:rsidR="001524B0" w:rsidP="004F5B42" w:rsidRDefault="001524B0">
      <w:pPr>
        <w:pStyle w:val="Heading2"/>
        <w:ind w:left="567" w:hanging="567"/>
      </w:pPr>
      <w:r>
        <w:lastRenderedPageBreak/>
        <w:t>EGSO naglašava da treba razmotriti strategije za suočavanje s gubitkom radnih mjesta do kojeg bi moglo doći zbog tehnologije. Kao što je navedeno u prethodnim mišljenjima, prepoznato je da će umjetna inteligencija i robotika zamijeniti i transformirati radna mjesta, neka ukinuti, a druga stvoriti. U svakom slučaju, EU mora osigurati da svi radnici, bilo zaposlenici, samozaposleni ili lažni samozaposleni, imaju pristup socijalnoj zaštiti u skladu s europskim skupom socijalnih prava. Socijalni dijalog o tim pitanjima treba promicati na svim razinama, a usklađivanje obveza i prava s trenutnim digitalnim gospodarstvom koje se temelji na platformama mora biti prioritet.</w:t>
      </w:r>
    </w:p>
    <w:p w:rsidRPr="00277E73" w:rsidR="001524B0" w:rsidP="004F5B42" w:rsidRDefault="001524B0">
      <w:pPr>
        <w:ind w:left="567" w:hanging="567"/>
        <w:rPr>
          <w:sz w:val="18"/>
          <w:szCs w:val="18"/>
        </w:rPr>
      </w:pPr>
    </w:p>
    <w:p w:rsidRPr="00754BA9" w:rsidR="001524B0" w:rsidP="004F5B42" w:rsidRDefault="00CD0340">
      <w:pPr>
        <w:pStyle w:val="Heading2"/>
        <w:ind w:left="567" w:hanging="567"/>
      </w:pPr>
      <w:r>
        <w:t>EGSO smatra da, kako bi se digitalnom tranzicijom moglo upravljati na uključiv i društveno odgovoran način i nositi se s gubitkom radnih mjesta, posebno u razdoblju nakon bolesti COVID-19, jedan od prioriteta mora biti europski fond, koji bi uglavnom bio podržan oporezivanjem najvećih tehnoloških poduzeća, s ciljem da se odgovarajućim osposobljavanjem, usavršavanjem i prekvalifikacijom pomogne radnicima koji zbog digitalizacije gospodarstva ostaju bez radnog odnosa i posla.</w:t>
      </w:r>
    </w:p>
    <w:p w:rsidRPr="00277E73" w:rsidR="00687720" w:rsidP="004F5B42" w:rsidRDefault="00687720">
      <w:pPr>
        <w:ind w:left="567" w:hanging="567"/>
        <w:rPr>
          <w:sz w:val="18"/>
          <w:szCs w:val="18"/>
        </w:rPr>
      </w:pPr>
    </w:p>
    <w:p w:rsidRPr="00754BA9" w:rsidR="003A292F" w:rsidP="004F5B42" w:rsidRDefault="00A31448">
      <w:pPr>
        <w:pStyle w:val="Heading2"/>
        <w:ind w:left="567" w:hanging="567"/>
      </w:pPr>
      <w:r>
        <w:t xml:space="preserve">EGSO poziva i na koordiniranu politiku koja će na djelotvoran način uzeti u obzir početnu poziciju Europe i odgovoriti i na tehnološke i na društvene promjene koje smo vidjeli posljednjih nekoliko godina i koje su se ubrzale zbog </w:t>
      </w:r>
      <w:proofErr w:type="spellStart"/>
      <w:r>
        <w:t>pandemije</w:t>
      </w:r>
      <w:proofErr w:type="spellEnd"/>
      <w:r>
        <w:t xml:space="preserve">. Od najveće je važnosti industrijska strategija, uključujući politiku tržišnog natjecanja i sektorsku regulaciju, osobito u pogledu sigurne </w:t>
      </w:r>
      <w:proofErr w:type="spellStart"/>
      <w:r>
        <w:t>povezivosti</w:t>
      </w:r>
      <w:proofErr w:type="spellEnd"/>
      <w:r>
        <w:t>.</w:t>
      </w:r>
    </w:p>
    <w:p w:rsidRPr="00277E73" w:rsidR="00011D33" w:rsidP="004F5B42" w:rsidRDefault="00011D33">
      <w:pPr>
        <w:rPr>
          <w:sz w:val="18"/>
          <w:szCs w:val="18"/>
        </w:rPr>
      </w:pPr>
    </w:p>
    <w:p w:rsidRPr="00754BA9" w:rsidR="00011D33" w:rsidP="004F5B42" w:rsidRDefault="00011D33">
      <w:pPr>
        <w:pStyle w:val="Heading1"/>
        <w:keepNext/>
        <w:rPr>
          <w:b/>
        </w:rPr>
      </w:pPr>
      <w:r>
        <w:rPr>
          <w:b/>
        </w:rPr>
        <w:t>Opće napomene</w:t>
      </w:r>
    </w:p>
    <w:p w:rsidRPr="00277E73" w:rsidR="00011D33" w:rsidP="004F5B42" w:rsidRDefault="00011D33">
      <w:pPr>
        <w:keepNext/>
        <w:rPr>
          <w:sz w:val="18"/>
          <w:szCs w:val="18"/>
        </w:rPr>
      </w:pPr>
    </w:p>
    <w:p w:rsidRPr="00754BA9" w:rsidR="00465906" w:rsidP="004F5B42" w:rsidRDefault="00465906">
      <w:pPr>
        <w:pStyle w:val="Heading2"/>
        <w:ind w:left="567" w:hanging="567"/>
      </w:pPr>
      <w:r>
        <w:t>EGSO podržava plan Europske komisije za Digitalni kompas 2030.: europski pristup za digitalno desetljeće, kao dio šireg akcijskog plana za poticanje europskog gospodarstva i socijalnog oporavka.</w:t>
      </w:r>
    </w:p>
    <w:p w:rsidRPr="00277E73" w:rsidR="00465906" w:rsidP="004F5B42" w:rsidRDefault="00465906">
      <w:pPr>
        <w:pStyle w:val="Heading2"/>
        <w:numPr>
          <w:ilvl w:val="0"/>
          <w:numId w:val="0"/>
        </w:numPr>
        <w:ind w:left="567" w:hanging="567"/>
        <w:rPr>
          <w:sz w:val="18"/>
          <w:szCs w:val="18"/>
        </w:rPr>
      </w:pPr>
    </w:p>
    <w:p w:rsidRPr="00754BA9" w:rsidR="00465906" w:rsidP="004F5B42" w:rsidRDefault="00465906">
      <w:pPr>
        <w:pStyle w:val="Heading2"/>
        <w:ind w:left="567" w:hanging="567"/>
      </w:pPr>
      <w:r>
        <w:t>Kriza uzrokovana bolešću COVID-19 ukazala je na visok stupanj ovisnosti o vanjskoj tehnologiji i postupcima obrade podataka, na što treba učinkovito i brzo odgovoriti. Potrebno je bolje iskoristiti europske prednosti u tim područjima i više uključiti europske građane.</w:t>
      </w:r>
    </w:p>
    <w:p w:rsidRPr="00277E73" w:rsidR="00465906" w:rsidP="004F5B42" w:rsidRDefault="00465906">
      <w:pPr>
        <w:pStyle w:val="Heading2"/>
        <w:numPr>
          <w:ilvl w:val="0"/>
          <w:numId w:val="0"/>
        </w:numPr>
        <w:ind w:left="567" w:hanging="567"/>
        <w:rPr>
          <w:sz w:val="18"/>
          <w:szCs w:val="18"/>
        </w:rPr>
      </w:pPr>
    </w:p>
    <w:p w:rsidRPr="00754BA9" w:rsidR="002D4F1D" w:rsidP="004F5B42" w:rsidRDefault="002D4F1D">
      <w:pPr>
        <w:pStyle w:val="Heading2"/>
        <w:ind w:left="567" w:hanging="567"/>
      </w:pPr>
      <w:r>
        <w:t>EGSO naglašava da nijedan građanin ne smije biti zapostavljen. Digitalna nepismenost u Europi i dalje je visoka (prema podacima Komisije iznosi 35 %), a nedostatak pristupa digitalnim resursima mora se ublažiti. Međutim, u gospodarskim i administrativnim odnosima treba zajamčiti ljudski kontakt. Važno je i osigurati da blagodati digitalizacije ne uživa samo nekolicina. Digitalno desetljeće mora biti na korist svima.</w:t>
      </w:r>
    </w:p>
    <w:p w:rsidRPr="00277E73" w:rsidR="00465906" w:rsidP="004F5B42" w:rsidRDefault="00465906">
      <w:pPr>
        <w:pStyle w:val="Heading2"/>
        <w:numPr>
          <w:ilvl w:val="0"/>
          <w:numId w:val="0"/>
        </w:numPr>
        <w:ind w:left="567" w:hanging="567"/>
        <w:rPr>
          <w:sz w:val="18"/>
          <w:szCs w:val="18"/>
        </w:rPr>
      </w:pPr>
    </w:p>
    <w:p w:rsidRPr="00754BA9" w:rsidR="00465906" w:rsidP="004F5B42" w:rsidRDefault="00465906">
      <w:pPr>
        <w:pStyle w:val="Heading2"/>
        <w:ind w:left="567" w:hanging="567"/>
      </w:pPr>
      <w:r>
        <w:t>Potrebno je podržati napore europskih poduzeća, posebno MSP-ova, u pogledu digitalizacije i potaknuti ih na nadmetanje na globalnoj razini. U slučaju kada EU posjeduje ili financira računalne resurse, kao što su računala s kvantnim ubrzanjem, pristup im mora biti pravedno raspodijeljen na temelju objektivnih kriterija.</w:t>
      </w:r>
    </w:p>
    <w:p w:rsidRPr="00277E73" w:rsidR="00465906" w:rsidP="004F5B42" w:rsidRDefault="00465906">
      <w:pPr>
        <w:ind w:left="567" w:hanging="567"/>
        <w:rPr>
          <w:sz w:val="18"/>
          <w:szCs w:val="18"/>
        </w:rPr>
      </w:pPr>
    </w:p>
    <w:p w:rsidRPr="00754BA9" w:rsidR="002D4F1D" w:rsidP="004F5B42" w:rsidRDefault="002D4F1D">
      <w:pPr>
        <w:pStyle w:val="Heading2"/>
        <w:ind w:left="567" w:hanging="567"/>
      </w:pPr>
      <w:r>
        <w:t xml:space="preserve">Međutim, ambicije i javni novac sami po sebi neće donijeti željene rezultate. Potrebna nam je i koordinirana politika koja se na djelotvoran način uzima u obzir početnu poziciju Europe te odgovara i na tehnološke i na društvene promjene koje smo vidjeli posljednjih nekoliko godina i koje su se ubrzale zbog </w:t>
      </w:r>
      <w:proofErr w:type="spellStart"/>
      <w:r>
        <w:t>pandemije</w:t>
      </w:r>
      <w:proofErr w:type="spellEnd"/>
      <w:r>
        <w:t xml:space="preserve">. Od najveće je važnosti industrijska strategija, uključujući politiku tržišnog natjecanja i sektorsku regulaciju, osobito u pogledu sigurne </w:t>
      </w:r>
      <w:proofErr w:type="spellStart"/>
      <w:r>
        <w:t>povezivosti</w:t>
      </w:r>
      <w:proofErr w:type="spellEnd"/>
      <w:r>
        <w:t>.</w:t>
      </w:r>
    </w:p>
    <w:p w:rsidRPr="00754BA9" w:rsidR="00465906" w:rsidP="004F5B42" w:rsidRDefault="00465906">
      <w:pPr>
        <w:pStyle w:val="Heading2"/>
        <w:ind w:left="567" w:hanging="567"/>
      </w:pPr>
      <w:r>
        <w:lastRenderedPageBreak/>
        <w:t>EGSO pozdravlja viziju razvoja ekosustava digitalnog obrazovanja i inovacija te naglašava da je za postizanje tog cilja potrebno iskoristiti vrhunske europske znanstvene i akademske institucije.</w:t>
      </w:r>
    </w:p>
    <w:p w:rsidRPr="00754BA9" w:rsidR="00687720" w:rsidP="004F5B42" w:rsidRDefault="00687720">
      <w:pPr>
        <w:ind w:left="567" w:hanging="567"/>
      </w:pPr>
    </w:p>
    <w:p w:rsidRPr="00754BA9" w:rsidR="002D4F1D" w:rsidP="004F5B42" w:rsidRDefault="002D4F1D">
      <w:pPr>
        <w:pStyle w:val="Heading2"/>
        <w:ind w:left="567" w:hanging="567"/>
      </w:pPr>
      <w:r>
        <w:t xml:space="preserve">Potrebno je pojačati postojeću javnu i privatnu suradnju te stvoriti više sinergija kako bi se osigurao novi digitalni plan utemeljen na modelu upravljanja koji uključuje socijalne, ekološke i gospodarske aspekte, kako bi se postigla dugoročna održiva, poštena i </w:t>
      </w:r>
      <w:proofErr w:type="spellStart"/>
      <w:r>
        <w:t>uključiva</w:t>
      </w:r>
      <w:proofErr w:type="spellEnd"/>
      <w:r>
        <w:t xml:space="preserve"> digitalna tranzicija.</w:t>
      </w:r>
    </w:p>
    <w:p w:rsidRPr="00754BA9" w:rsidR="002D4F1D" w:rsidP="004F5B42" w:rsidRDefault="002D4F1D"/>
    <w:p w:rsidRPr="00754BA9" w:rsidR="003A7034" w:rsidP="004F5B42" w:rsidRDefault="002D4F1D">
      <w:pPr>
        <w:pStyle w:val="Heading2"/>
        <w:ind w:left="567" w:hanging="567"/>
      </w:pPr>
      <w:r>
        <w:t>EGSO naglašava da treba razmotriti strategije za suočavanje s gubitkom radnih mjesta do kojeg bi moglo doći zbog tehnologije. Kao što je navedeno u prethodnim mišljenjima</w:t>
      </w:r>
      <w:r w:rsidRPr="00754BA9">
        <w:rPr>
          <w:rStyle w:val="FootnoteReference"/>
        </w:rPr>
        <w:footnoteReference w:id="1"/>
      </w:r>
      <w:r>
        <w:t xml:space="preserve">, prepoznato je da će umjetna inteligencija i robotika zamijeniti i transformirati radna mjesta, neka ukinuti, a druga stvoriti. U svakom slučaju, EU mora osigurati da svi radnici, bilo zaposlenici, samozaposleni ili lažni samozaposleni, imaju pristup socijalnoj zaštiti u skladu s europskim skupom socijalnih prava. Potrebno je promicati socijalni dijalog o tim pitanjima na svim razinama. Potrebno je donijeti i uskladiti mjere za potporu otpuštenim ljudima, a one bi se mogle financirati iz poreza EU-a za poduzeća koja ostvaruju najveću dobit u digitalnom gospodarstvu. </w:t>
      </w:r>
    </w:p>
    <w:p w:rsidRPr="00754BA9" w:rsidR="003A7034" w:rsidP="004F5B42" w:rsidRDefault="003A7034"/>
    <w:p w:rsidRPr="00754BA9" w:rsidR="0014073E" w:rsidP="004F5B42" w:rsidRDefault="002D4F1D">
      <w:pPr>
        <w:pStyle w:val="Heading2"/>
        <w:ind w:left="567" w:hanging="567"/>
      </w:pPr>
      <w:r>
        <w:t>Ne smije se zanemariti uloga rizičnog kapitala, tržišta dionica i općenito privatnih ulaganja. Tehnološki razvoj u Europi predvodit će privatna poduzeća, a EU će se moći natjecati na globalnoj razini samo ako i dalje bude poticao ta ulaganja. Sve se to mora odvijati uzimajući u obzir socijalne standarde.</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t xml:space="preserve">Ambiciozni ciljevi </w:t>
      </w:r>
      <w:proofErr w:type="spellStart"/>
      <w:r>
        <w:t>povezivosti</w:t>
      </w:r>
      <w:proofErr w:type="spellEnd"/>
      <w:r>
        <w:t xml:space="preserve"> trebali bi ići ruku pod ruku s predanim radom na uspostavi povoljnijeg regulatornog okvira koji podržava privatna ulaganja u mrežnu infrastrukturu. Bit će od ključne važnosti uskladiti industrijsku strategiju EU-a i viziju europskog vodstva u području digitalne povezanosti s politikom tržišnog natjecanja i regulatornom praksom za sektor telekomunikacija.</w:t>
      </w:r>
    </w:p>
    <w:p w:rsidRPr="00754BA9" w:rsidR="00465906" w:rsidP="004F5B42" w:rsidRDefault="00465906">
      <w:pPr>
        <w:ind w:left="567" w:hanging="567"/>
      </w:pPr>
    </w:p>
    <w:p w:rsidRPr="00754BA9" w:rsidR="00C1215E" w:rsidP="004F5B42" w:rsidRDefault="00C1215E">
      <w:pPr>
        <w:pStyle w:val="Heading2"/>
        <w:ind w:left="567" w:hanging="567"/>
      </w:pPr>
      <w:r>
        <w:t xml:space="preserve">U planu za digitalno desetljeće utvrđuju se planovi za razvoj europske „vlastite infrastrukture i kapaciteta u oblaku” kako bi se spriječilo preseljenje podataka proizvedenih u Europi u inozemstvo, kamo trenutno odlazi više od 90 % europskih podataka. Europa ne smije biti naivna i mora nastaviti svoju borbu za neovisnost i zadržavanje podataka svojih građana, posebno osjetljivih podataka, unutar svojih granica. U tom pogledu, cilj iz plana za digitalno desetljeće da se postigne 10 000 iznimno sigurnih i klimatski neutralnih rubnih čvorova podataka i čvorova u oblaku korak je u pravom smjeru. Potrebno je ubrzati projekt GAIA X, koji mora brzo postati operativan. </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t>EGSO podupire ideju promicanja europskog tehnološkog sektora kako bi se smanjila ovisnost o američkim i kineskim tehnološkim divovima i nadoknadio zaostatak u područjima kao što su uvođenje 5G tehnologije, izrada čipova i obrada podataka, ali se protivi pristupu protekcionističkog podatkovnog gospodarstva u Europi. Potrebno je promicati međunarodno partnerstvo i suradnju.</w:t>
      </w:r>
    </w:p>
    <w:p w:rsidRPr="00754BA9" w:rsidR="00465906" w:rsidP="004F5B42" w:rsidRDefault="00465906">
      <w:pPr>
        <w:pStyle w:val="Heading2"/>
        <w:numPr>
          <w:ilvl w:val="0"/>
          <w:numId w:val="0"/>
        </w:numPr>
        <w:ind w:left="567" w:hanging="567"/>
      </w:pPr>
    </w:p>
    <w:p w:rsidRPr="00754BA9" w:rsidR="00C1215E" w:rsidP="004F5B42" w:rsidRDefault="002D4F1D">
      <w:pPr>
        <w:pStyle w:val="Heading2"/>
        <w:ind w:left="567" w:hanging="567"/>
      </w:pPr>
      <w:r>
        <w:lastRenderedPageBreak/>
        <w:t>Kako bi se postigli ti ciljevi, do 2030. treba zaposliti 20 milijuna tehnoloških stručnjaka u relevantnim područjima rada (usporedbe radi, danas ih ima 7,8 milijuna). Od 7,8 milijuna radnika u području IKT-a 2019. godine samo 18 % bile su žene. Raznolikost u digitalnim sektorima od ključne je važnosti i pomoći će u oblikovanju vizije svijeta i njegovih izazova, posebno u pogledu smanjenja rizika od pristranosti. Potrebno je pomno pratiti cilj postizanja uravnoteženijeg rodnog sastava te poticati dostupnost STEM disciplina za žene. Socijalni dijalog treba promicati na svim razinama (na razini poduzeća i sektora te na nacionalnoj razini) jer on može pridonijeti tom cilju. U državama članicama treba promicati učinkovite kampanje, počevši od osnovne škole, kako bi se potaknulo djevojčice na odabir znanstvenih i tehnoloških disciplina. Digitalni jaz veliki je izazov. U mnogim ruralnim područjima još nije dostupna ni 3G tehnologija. Europa i države članice trebale bi davati poticaje za povećanje ulaganja u ruralna područja kako bi se osiguralo da nijedan građanin ne bude zapostavljen.</w:t>
      </w:r>
    </w:p>
    <w:p w:rsidRPr="00754BA9" w:rsidR="00465906" w:rsidP="004F5B42" w:rsidRDefault="00465906">
      <w:pPr>
        <w:pStyle w:val="Heading2"/>
        <w:numPr>
          <w:ilvl w:val="0"/>
          <w:numId w:val="0"/>
        </w:numPr>
        <w:ind w:left="567" w:hanging="567"/>
      </w:pPr>
    </w:p>
    <w:p w:rsidRPr="00754BA9" w:rsidR="00C1215E" w:rsidP="004F5B42" w:rsidRDefault="00C1215E">
      <w:pPr>
        <w:pStyle w:val="Heading2"/>
        <w:ind w:left="567" w:hanging="567"/>
      </w:pPr>
      <w:r>
        <w:t xml:space="preserve">Ta bi ulaganja mogla promicati teritorijalnu koheziju i regionalni razvoj, a ljudima bi mogla omogućiti </w:t>
      </w:r>
      <w:proofErr w:type="spellStart"/>
      <w:r>
        <w:t>ispunjeniji</w:t>
      </w:r>
      <w:proofErr w:type="spellEnd"/>
      <w:r>
        <w:t xml:space="preserve"> život izvan velikih urbanih središta, ako to žele („pametna sela” spomenuta u Komunikaciji). Rad na daljinu mora se razvijati kroz socijalni dijalog i kolektivno pregovaranje na svim razinama kako bi se zaštitilo zdravlje i dobrobit radnika.</w:t>
      </w:r>
    </w:p>
    <w:p w:rsidRPr="00754BA9" w:rsidR="00011D33" w:rsidP="004F5B42" w:rsidRDefault="00011D33">
      <w:pPr>
        <w:ind w:left="567" w:hanging="567"/>
      </w:pPr>
    </w:p>
    <w:p w:rsidRPr="00754BA9" w:rsidR="00465906" w:rsidP="004F5B42" w:rsidRDefault="00465906">
      <w:pPr>
        <w:pStyle w:val="Heading2"/>
        <w:ind w:left="567" w:hanging="567"/>
      </w:pPr>
      <w:r>
        <w:t>EGSO potiče Europsku komisiju da uspostavi poticaje za preseljenje ljudi izvan velikih urbanih područja, kojima bi se promicao gospodarski i socijalni razvoj ruralnih područja. To se može ostvariti samo ako se uspostavi odgovarajuća infrastruktura, posebno u području telekomunikacija i prometa.</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t>Postoje veliki ekološki izazovi s kojima se treba suočiti u sljedećem desetljeću, a sve mjere poduzete u tom kontekstu trebaju uzeti u obzir i okolišni aspekt. Štoviše, Digitalni kompas trebalo bi upotrebljavati kao dodatni alat za pomoć u ispunjavanju ciljeva europskog zelenog plana i smanjenju učinaka na okoliš.</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t xml:space="preserve">Isto tako, digitalne tehnologije moraju biti transparentne, </w:t>
      </w:r>
      <w:proofErr w:type="spellStart"/>
      <w:r>
        <w:t>uključive</w:t>
      </w:r>
      <w:proofErr w:type="spellEnd"/>
      <w:r>
        <w:t xml:space="preserve">, </w:t>
      </w:r>
      <w:proofErr w:type="spellStart"/>
      <w:r>
        <w:t>nediskriminirajuće</w:t>
      </w:r>
      <w:proofErr w:type="spellEnd"/>
      <w:r>
        <w:t xml:space="preserve">, poštene i nepristrane. To je još važnije s obzirom na to da javne usluge postaju sve digitalnije. Prema podacima Komisije, 65 % europskih građana posjeduje osnovne digitalne vještine, a cilj je to povećati na 80 % do 2030. Pitanje uključivanja i podupiranja preostalih 20 % (oko 90 milijuna građana u EU-u) ključno je za smanjenje siromaštva i isključenosti. Ti su građani obično među najsiromašnijima i najstarijima te žive u ruralnim područjima. Oni bi mogli postati još ranjiviji u doticaju s javnim i privatnim uslugama, koje postaju sve </w:t>
      </w:r>
      <w:proofErr w:type="spellStart"/>
      <w:r>
        <w:t>digitaliziranije</w:t>
      </w:r>
      <w:proofErr w:type="spellEnd"/>
      <w:r>
        <w:t>. EGSO naglašava da se u gospodarskim i administrativnim odnosima mora zajamčiti ljudski kontakt.</w:t>
      </w:r>
    </w:p>
    <w:p w:rsidRPr="00754BA9" w:rsidR="00687720" w:rsidP="004F5B42" w:rsidRDefault="00687720">
      <w:pPr>
        <w:ind w:left="567" w:hanging="567"/>
      </w:pPr>
    </w:p>
    <w:p w:rsidRPr="00754BA9" w:rsidR="00C1215E" w:rsidP="004F5B42" w:rsidRDefault="002D4F1D">
      <w:pPr>
        <w:pStyle w:val="Heading2"/>
        <w:ind w:left="567" w:hanging="567"/>
      </w:pPr>
      <w:r>
        <w:t>EGSO u potpunosti podržava cilj da sve ključne europske javne usluge budu dostupne putem interneta, a i medicinska dokumentacija europskih građana morat će biti potpuno digitalna jer se očekuje da će 80 % građana upotrebljavati digitalni identitet. Međutim, i to će zahtijevati koordinirane napore i političku volju svih država članica. EGSO poziva na uključivanje organizacija civilnog društva kako bi se postigao taj cilj. Osnovni digitalni mehanizmi za javne usluge u načelu bi trebali biti besplatni. U svakom slučaju, digitalizacija javnih usluga ne smije dovesti do većih financijskih prepreka za korisnike.</w:t>
      </w:r>
    </w:p>
    <w:p w:rsidRPr="00754BA9" w:rsidR="00465906" w:rsidP="004F5B42" w:rsidRDefault="00465906"/>
    <w:p w:rsidRPr="00754BA9" w:rsidR="00465906" w:rsidP="004F5B42" w:rsidRDefault="00465906">
      <w:pPr>
        <w:pStyle w:val="Heading1"/>
        <w:keepNext/>
      </w:pPr>
      <w:r>
        <w:rPr>
          <w:b/>
          <w:bCs/>
        </w:rPr>
        <w:lastRenderedPageBreak/>
        <w:t>Posebne napomene</w:t>
      </w:r>
    </w:p>
    <w:p w:rsidRPr="00754BA9" w:rsidR="00465906" w:rsidP="004F5B42" w:rsidRDefault="00465906">
      <w:pPr>
        <w:keepNext/>
        <w:outlineLvl w:val="0"/>
      </w:pPr>
    </w:p>
    <w:p w:rsidRPr="00754BA9" w:rsidR="00465906" w:rsidP="004F5B42" w:rsidRDefault="00465906">
      <w:pPr>
        <w:pStyle w:val="Heading2"/>
        <w:ind w:left="567" w:hanging="567"/>
      </w:pPr>
      <w:r>
        <w:t xml:space="preserve">Povećana digitalizacija života zahtijeva posebnu pažnju u pogledu </w:t>
      </w:r>
      <w:proofErr w:type="spellStart"/>
      <w:r>
        <w:t>kibersigurnosti</w:t>
      </w:r>
      <w:proofErr w:type="spellEnd"/>
      <w:r>
        <w:t xml:space="preserve"> i osjetljivosti na prijevare te je bitno obrazovati građane u tom pogledu. Propisi o nosivoj tehnologiji od posebne su važnosti i na njih treba obratiti posebnu pozornost.</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t xml:space="preserve">Europski zakoni koji se odnose na digitalno gospodarstvo brzo se razvijaju. Građani i poduzeća moraju biti upoznati sa svojim pravima i dužnostima u digitalnom području. Treba kontinuirano nastojati konsolidirati zakonodavne inicijative i olakšati građanima i poduzećima razumijevanje i primjenu zakona. </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t>EGSO pozdravlja redovito praćenje ciljeva i sustav upravljanja koji su predloženi u Komunikaciji, a za ostvarenje vizije utvrđene u njoj ključni su višedržavni projekti.</w:t>
      </w:r>
    </w:p>
    <w:p w:rsidRPr="00754BA9" w:rsidR="00465906" w:rsidP="004F5B42" w:rsidRDefault="00465906">
      <w:pPr>
        <w:pStyle w:val="Heading2"/>
        <w:numPr>
          <w:ilvl w:val="0"/>
          <w:numId w:val="0"/>
        </w:numPr>
        <w:ind w:left="567" w:hanging="567"/>
      </w:pPr>
    </w:p>
    <w:p w:rsidRPr="00754BA9" w:rsidR="000218D2" w:rsidP="004F5B42" w:rsidRDefault="000218D2">
      <w:pPr>
        <w:pStyle w:val="Heading2"/>
        <w:ind w:left="567" w:hanging="567"/>
      </w:pPr>
      <w:r>
        <w:t>EGSO predlaže izradu studija slučaja o određenim sektorima u državama članicama i zemljama koje nisu članice EU-a kako bi se usvojile ili promicale najbolje prakse na europskoj razini. Potrebno je promicati regulatorna sigurna testna okruženja koja pružaju siguran prostor za testiranje novih poslovnih modela i ideja. U ambicioznom digitalnom gospodarstvu moraju se uspostaviti agilna i permisivna ispitna područja.</w:t>
      </w:r>
    </w:p>
    <w:p w:rsidRPr="00754BA9" w:rsidR="00085704" w:rsidP="004F5B42" w:rsidRDefault="00085704"/>
    <w:p w:rsidRPr="00754BA9" w:rsidR="00465906" w:rsidP="004F5B42" w:rsidRDefault="00465906">
      <w:pPr>
        <w:pStyle w:val="Heading1"/>
        <w:keepNext/>
      </w:pPr>
      <w:r>
        <w:rPr>
          <w:b/>
        </w:rPr>
        <w:t>Stanovništvo s digitalnim vještinama i visokokvalificirani digitalni stručnjaci</w:t>
      </w:r>
    </w:p>
    <w:p w:rsidRPr="00754BA9" w:rsidR="00465906" w:rsidP="004F5B42" w:rsidRDefault="00465906">
      <w:pPr>
        <w:pStyle w:val="Heading1"/>
        <w:keepNext/>
        <w:numPr>
          <w:ilvl w:val="0"/>
          <w:numId w:val="0"/>
        </w:numPr>
      </w:pPr>
    </w:p>
    <w:p w:rsidRPr="00754BA9" w:rsidR="00687720" w:rsidP="004F5B42" w:rsidRDefault="00085704">
      <w:pPr>
        <w:pStyle w:val="Heading2"/>
        <w:ind w:left="567" w:hanging="567"/>
      </w:pPr>
      <w:r>
        <w:t>EGSO podržava cilj da se u području IKT-a zaposli 20 milijuna stručnjaka, uz podjednaki udio žena i muškaraca</w:t>
      </w:r>
      <w:r w:rsidRPr="00754BA9">
        <w:rPr>
          <w:rStyle w:val="FootnoteReference"/>
        </w:rPr>
        <w:footnoteReference w:id="2"/>
      </w:r>
      <w:r>
        <w:t xml:space="preserve"> (polazno stanje 2019.: 7,8 milijuna). To će, naravno, zahtijevati ulaganje u odgovarajuće obrazovne sustave koji mogu podržati taj cilj.</w:t>
      </w:r>
    </w:p>
    <w:p w:rsidRPr="00754BA9" w:rsidR="00687720" w:rsidP="004F5B42" w:rsidRDefault="00687720"/>
    <w:p w:rsidRPr="00754BA9" w:rsidR="00B45E5C" w:rsidP="004F5B42" w:rsidRDefault="003464D5">
      <w:pPr>
        <w:pStyle w:val="Heading2"/>
        <w:ind w:left="567" w:hanging="567"/>
      </w:pPr>
      <w:r>
        <w:t>Digitalizacija usluga u području slobodnih zanimanja, koje su usko povezane s javnim interesima kao što su zdravlje, sigurnost, zakonodavstvo i životni standard ima veliki utjecaj na društvo i zahtijeva nove stručne i etičke pristupe</w:t>
      </w:r>
      <w:r w:rsidRPr="00754BA9">
        <w:rPr>
          <w:rStyle w:val="FootnoteReference"/>
        </w:rPr>
        <w:footnoteReference w:id="3"/>
      </w:r>
      <w:r>
        <w:t>. Njezin uspjeh ovisi i o visokokvalificiranim stručnjacima i o digitalnim vještinama i razumijevanju korisnika, pacijenata, klijenata i potrošača.</w:t>
      </w:r>
    </w:p>
    <w:p w:rsidRPr="00754BA9" w:rsidR="00B45E5C" w:rsidP="004F5B42" w:rsidRDefault="00B45E5C">
      <w:pPr>
        <w:ind w:left="567" w:hanging="567"/>
      </w:pPr>
    </w:p>
    <w:p w:rsidRPr="00754BA9" w:rsidR="00B45E5C" w:rsidP="004F5B42" w:rsidRDefault="00B45E5C">
      <w:pPr>
        <w:pStyle w:val="Heading2"/>
        <w:ind w:left="567" w:hanging="567"/>
        <w:rPr>
          <w:iCs/>
        </w:rPr>
      </w:pPr>
      <w:r>
        <w:t>EGSO naglašava sve veću potrebu za usavršavanjem i prekvalifikacijom ljudi, čime se promiče cjeloživotno učenje za sve.</w:t>
      </w:r>
    </w:p>
    <w:p w:rsidRPr="00754BA9" w:rsidR="00B45E5C" w:rsidP="004F5B42" w:rsidRDefault="00B45E5C"/>
    <w:p w:rsidRPr="00754BA9" w:rsidR="00B45E5C" w:rsidP="004F5B42" w:rsidRDefault="00B45E5C">
      <w:pPr>
        <w:pStyle w:val="Heading2"/>
        <w:ind w:left="567" w:hanging="567"/>
      </w:pPr>
      <w:proofErr w:type="spellStart"/>
      <w:r>
        <w:t>Pandemija</w:t>
      </w:r>
      <w:proofErr w:type="spellEnd"/>
      <w:r>
        <w:t xml:space="preserve"> je potaknula učenje na daljinu. Istodobno je postalo jasno da to podrazumijeva visoki rizik od zaostatka u učenju za djecu iz nižih društvenih slojeva. U ostvarenju akcijskog plana Digitalni ciljevi do 2030. potrebno je posebnu pažnju posvetiti digitalnom siromaštvu.</w:t>
      </w:r>
    </w:p>
    <w:p w:rsidRPr="00754BA9" w:rsidR="00B45E5C" w:rsidP="004F5B42" w:rsidRDefault="00B45E5C"/>
    <w:p w:rsidRPr="00754BA9" w:rsidR="00465906" w:rsidP="004F5B42" w:rsidRDefault="00465906">
      <w:pPr>
        <w:pStyle w:val="Heading1"/>
        <w:keepNext/>
      </w:pPr>
      <w:r>
        <w:rPr>
          <w:b/>
        </w:rPr>
        <w:lastRenderedPageBreak/>
        <w:t>Globalna uloga EU-a u digitalnom desetljeću i jednaki uvjeti za mala i srednja poduzeća</w:t>
      </w:r>
    </w:p>
    <w:p w:rsidRPr="00754BA9" w:rsidR="00B45E5C" w:rsidP="004F5B42" w:rsidRDefault="00B45E5C">
      <w:pPr>
        <w:keepNext/>
      </w:pPr>
    </w:p>
    <w:p w:rsidRPr="00754BA9" w:rsidR="00E72096" w:rsidP="004F5B42" w:rsidRDefault="00E72096">
      <w:pPr>
        <w:pStyle w:val="Heading2"/>
        <w:ind w:left="567" w:hanging="567"/>
      </w:pPr>
      <w:r>
        <w:t>U pogledu MSP-ova, naravno da je neophodno različitim pristupima podržati njihove napore u području digitalizacije, ali važno je i naglasiti ulogu MSP-ova kao pokretača inovacija u digitalnim tehnologijama.</w:t>
      </w:r>
    </w:p>
    <w:p w:rsidRPr="00754BA9" w:rsidR="00687720" w:rsidP="004F5B42" w:rsidRDefault="00687720"/>
    <w:p w:rsidRPr="00754BA9" w:rsidR="00E72096" w:rsidP="004F5B42" w:rsidRDefault="00E72096">
      <w:pPr>
        <w:pStyle w:val="Heading2"/>
        <w:ind w:left="567" w:hanging="567"/>
      </w:pPr>
      <w:r>
        <w:t xml:space="preserve">Razvoj softvera brzorastući je </w:t>
      </w:r>
      <w:proofErr w:type="spellStart"/>
      <w:r>
        <w:t>podsektor</w:t>
      </w:r>
      <w:proofErr w:type="spellEnd"/>
      <w:r>
        <w:t xml:space="preserve"> u digitalnom procesu. Potpora inovativnim MSP-ovima zaslužuje posebnu pozornost. EGSO podržava financijske mehanizme koji mogu osigurati odgovarajuću potporu MSP-ovima kako bi se zajamčila nesmetana tranzicija. Istodobno je potrebno osigurati kontinuitet, što znači da se omogućava ažuriranje programa tako da korisnici ne moraju stalno ulagati u nove programe.</w:t>
      </w:r>
    </w:p>
    <w:p w:rsidRPr="00754BA9" w:rsidR="00E72096" w:rsidP="004F5B42" w:rsidRDefault="00E72096"/>
    <w:p w:rsidRPr="00754BA9" w:rsidR="00E72096" w:rsidP="004F5B42" w:rsidRDefault="00E72096">
      <w:pPr>
        <w:pStyle w:val="Heading2"/>
        <w:ind w:left="567" w:hanging="567"/>
      </w:pPr>
      <w:r>
        <w:t>Sva poduzeća, bilo da su to mala i srednja poduzeća, novoosnovana ili proširena poduzeća, trebaju kapital. Ciljevi navedeni u dokumentu ističu hitnost postizanja unije tržišta kapitala, koja uzima u obzir tržišna rješenja i smanjuje oslanjanje na bankovno financiranje i potpore u obliku predujma, čime se potiče prijenos ušteđevina između različitih država članica u potrazi za najboljim povratom, te potrebu za ukidanjem preferencijalnog poreznog tretmana u korist duga. Inovativna poduzeća trebaju kapital i porezni sustav koji poduzetnike neće pretjerano kažnjavati graničnim poreznim stopama na kapitalnu dobit.</w:t>
      </w:r>
    </w:p>
    <w:p w:rsidRPr="00754BA9" w:rsidR="00EF0CBA" w:rsidP="004F5B42" w:rsidRDefault="00EF0CBA"/>
    <w:p w:rsidRPr="00754BA9" w:rsidR="00465906" w:rsidP="004F5B42" w:rsidRDefault="00465906">
      <w:pPr>
        <w:pStyle w:val="Heading1"/>
        <w:keepNext/>
      </w:pPr>
      <w:r>
        <w:rPr>
          <w:b/>
        </w:rPr>
        <w:t>Rizici i zaštitne mjere</w:t>
      </w:r>
    </w:p>
    <w:p w:rsidRPr="00754BA9" w:rsidR="00465906" w:rsidP="004F5B42" w:rsidRDefault="00465906">
      <w:pPr>
        <w:pStyle w:val="Heading1"/>
        <w:keepNext/>
        <w:numPr>
          <w:ilvl w:val="0"/>
          <w:numId w:val="0"/>
        </w:numPr>
      </w:pPr>
    </w:p>
    <w:p w:rsidRPr="00754BA9" w:rsidR="004A4F0E" w:rsidP="004F5B42" w:rsidRDefault="00E72096">
      <w:pPr>
        <w:pStyle w:val="Heading2"/>
        <w:ind w:left="567" w:hanging="567"/>
      </w:pPr>
      <w:r>
        <w:t>Potreba za sigurnošću, predvidljivošću te fizičkim i mentalnim zdravljem također mora biti prioritet u tom programu. Važno je podići razinu osviještenosti ljudi o sigurnosti i tehnologiji za poboljšanje kvalitete života i radnih mjesta. EGSO stoga smatra da bi Europska komisija trebala iskoristiti priliku koju joj nude planirane godišnje aktivnosti praćenja percepcije europskih građana o poštovanju njihovih prava i vrijednosti i osigurati da njihovo pravo na zdravlje bude zaštićeno na odgovarajući način.</w:t>
      </w:r>
    </w:p>
    <w:p w:rsidRPr="00754BA9" w:rsidR="00BC1D61" w:rsidP="004F5B42" w:rsidRDefault="00BC1D61"/>
    <w:p w:rsidRPr="00754BA9" w:rsidR="00BC1D61" w:rsidP="004F5B42" w:rsidRDefault="00BC1D61">
      <w:pPr>
        <w:pStyle w:val="Heading2"/>
        <w:ind w:left="567" w:hanging="567"/>
      </w:pPr>
      <w:r>
        <w:t>EGSO istodobno preporučuje da Europska unija tu novu industrijsku revoluciju poprati posebnom strategijom praćenja cjelokupnog elektromagnetskog onečišćenja prouzrokovanog raznim trenutačno dostupnim tehnologijama. Time bi se omogućilo praćenje elektromagnetskih utjecaja diljem Europe s ciljem sastavljanja posebne dokumentacije o toj temi kako bi se osiguralo zdravstveno stanje stanovništva jednom kad se uspostavi europska elektronička zdravstvena evidencija i usporedba podataka postane moguća. Praćenje bi trebale provoditi sve države članice, a dobiveni podaci trebali bi se prikupljati u jedinstvenoj europskoj bazi podataka. Treba razviti europsku politiku usmjerenu na jačanje povjerenja građana u to područje.</w:t>
      </w:r>
    </w:p>
    <w:p w:rsidRPr="00754BA9" w:rsidR="004A4F0E" w:rsidP="004F5B42" w:rsidRDefault="004A4F0E"/>
    <w:p w:rsidRPr="00754BA9" w:rsidR="006C4B39" w:rsidP="004F5B42" w:rsidRDefault="00E72096">
      <w:pPr>
        <w:pStyle w:val="Heading2"/>
        <w:ind w:left="567" w:hanging="567"/>
      </w:pPr>
      <w:r>
        <w:t>Digitalne tehnologije trebale bi biti na usluzi europskim građanima, prema kojima se nikada ne bi trebalo ponašati kao prema stvarima ili pukim izvorima podataka. Potrebno je uzeti u obzir postojeće etičke i tehničke smjernice, kao što su „Etičke smjernice za pouzdanu umjetnu inteligenciju” Stručne skupine na visokoj razini za umjetnu inteligenciju.</w:t>
      </w:r>
    </w:p>
    <w:p w:rsidRPr="00754BA9" w:rsidR="00687720" w:rsidP="004F5B42" w:rsidRDefault="00687720">
      <w:pPr>
        <w:ind w:left="567" w:hanging="567"/>
      </w:pPr>
    </w:p>
    <w:p w:rsidRPr="00754BA9" w:rsidR="00E72096" w:rsidP="004F5B42" w:rsidRDefault="00E72096">
      <w:pPr>
        <w:pStyle w:val="Heading2"/>
        <w:ind w:left="567" w:hanging="567"/>
      </w:pPr>
      <w:r>
        <w:t xml:space="preserve">EGSO preporučuje da se, s obzirom na rizike koje predstavlja obrada podataka, poduzmu mjere kako bi se osiguralo da se ne pohranjuje više podataka nego što je poduzeću stvarno potrebno i da se podaci ne pohranjuju duže nego što je potrebno. Istodobno, inovacije utemeljene na </w:t>
      </w:r>
      <w:r>
        <w:lastRenderedPageBreak/>
        <w:t>podacima ključni su čimbenik za konkurentnost u digitalnom okruženju, a vlasti bi se trebale zalagati za međusektorski regulatorni okvir za razmjenu podataka kako bi se omogućila razmjena podataka usmjerena na korisnike.</w:t>
      </w:r>
      <w:r>
        <w:rPr>
          <w:sz w:val="21"/>
          <w:szCs w:val="21"/>
        </w:rPr>
        <w:t xml:space="preserve"> </w:t>
      </w:r>
      <w:r>
        <w:t xml:space="preserve">Primjenjivi okvir mora promicati pristup podacima i usredotočiti se na </w:t>
      </w:r>
      <w:proofErr w:type="spellStart"/>
      <w:r>
        <w:t>interoperabilnost</w:t>
      </w:r>
      <w:proofErr w:type="spellEnd"/>
      <w:r>
        <w:t>.</w:t>
      </w:r>
    </w:p>
    <w:p w:rsidRPr="00754BA9" w:rsidR="00687720" w:rsidP="004F5B42" w:rsidRDefault="00687720">
      <w:pPr>
        <w:ind w:left="567" w:hanging="567"/>
      </w:pPr>
    </w:p>
    <w:p w:rsidRPr="00754BA9" w:rsidR="00687720" w:rsidP="004F5B42" w:rsidRDefault="00687720">
      <w:pPr>
        <w:pStyle w:val="Heading2"/>
        <w:ind w:left="567" w:hanging="567"/>
      </w:pPr>
      <w:r>
        <w:t>Udio od 20 % Mehanizma za oporavak i otpornost namijenjen je digitalnoj povezanosti, a 37 % zelenoj tranziciji. To zahtijeva ambicioznu i koherentnu viziju europske telekomunikacijske industrije i zalaganje za povoljniji regulatorni okvir koji podržava privatna ulaganja u mrežnu infrastrukturu, kao i razvoj suverenih integriranih telekomunikacijskih usluga s tehnologijom u oblaku, rubnom i podatkovnom tehnologijom te tehnologijom umjetne inteligencije.</w:t>
      </w:r>
    </w:p>
    <w:p w:rsidRPr="00754BA9" w:rsidR="00687720" w:rsidP="004F5B42" w:rsidRDefault="00687720">
      <w:pPr>
        <w:ind w:left="567" w:hanging="567"/>
      </w:pPr>
    </w:p>
    <w:p w:rsidRPr="00754BA9" w:rsidR="00E72096" w:rsidP="004F5B42" w:rsidRDefault="00E72096">
      <w:pPr>
        <w:pStyle w:val="Heading2"/>
        <w:ind w:left="567" w:hanging="567"/>
      </w:pPr>
      <w:r>
        <w:t>EGSO smatra da digitalna tranzicija mora biti usklađena s prijelazom na zelenije gospodarstvo te uzimati u obzir utjecaj na okoliš. Iskorištavanje resursa (uključujući ograničene resurse) i s time povezana potrošnja energije moraju biti razumni. Na europskoj bi se razini trebala zahtijevati transparentnost ugljičnog otiska usluga u oblaku kako bi bilo koja organizacija mogla izračunati svoj digitalni ugljični otisak i razviti planove za njegovo smanjenje.</w:t>
      </w:r>
    </w:p>
    <w:p w:rsidRPr="00754BA9" w:rsidR="00E72096" w:rsidP="004F5B42" w:rsidRDefault="00E72096">
      <w:pPr>
        <w:ind w:left="567" w:hanging="567"/>
      </w:pPr>
    </w:p>
    <w:p w:rsidRPr="00754BA9" w:rsidR="00E72096" w:rsidP="004F5B42" w:rsidRDefault="00E72096">
      <w:pPr>
        <w:pStyle w:val="Heading2"/>
        <w:ind w:left="567" w:hanging="567"/>
      </w:pPr>
      <w:r>
        <w:t>EGSO naglašava da treba ići ukorak s brzim razvojem tehnologije i poslovnih modela i nastojati popuniti sve regulatorne praznine, posebno one koje mogu naštetiti potrošačima i najugroženijim građanima.</w:t>
      </w:r>
    </w:p>
    <w:p w:rsidRPr="00754BA9" w:rsidR="00E95B50" w:rsidP="004F5B42" w:rsidRDefault="00E95B50"/>
    <w:p w:rsidRPr="00754BA9" w:rsidR="00E95B50" w:rsidP="004F5B42" w:rsidRDefault="00E95B50">
      <w:r>
        <w:t>Bruxelles, 7. srpnja 2021.</w:t>
      </w:r>
    </w:p>
    <w:p w:rsidRPr="00754BA9" w:rsidR="00E95B50" w:rsidP="004F5B42" w:rsidRDefault="00E95B50"/>
    <w:p w:rsidRPr="00754BA9" w:rsidR="00E95B50" w:rsidP="004F5B42" w:rsidRDefault="00E95B50"/>
    <w:p w:rsidRPr="00754BA9" w:rsidR="00E95B50" w:rsidP="004F5B42" w:rsidRDefault="00E95B50"/>
    <w:p w:rsidRPr="00754BA9" w:rsidR="00E95B50" w:rsidP="004F5B42" w:rsidRDefault="00E95B50"/>
    <w:p w:rsidRPr="00754BA9" w:rsidR="00E95B50" w:rsidP="004F5B42" w:rsidRDefault="00FB6A3A">
      <w:proofErr w:type="spellStart"/>
      <w:r>
        <w:t>Christa</w:t>
      </w:r>
      <w:proofErr w:type="spellEnd"/>
      <w:r>
        <w:t xml:space="preserve"> SCHWENG</w:t>
      </w:r>
    </w:p>
    <w:p w:rsidRPr="00754BA9" w:rsidR="00E95B50" w:rsidP="004F5B42" w:rsidRDefault="00FB6A3A">
      <w:r>
        <w:t>Predsjednica Europskog gospodarskog i socijalnog odbora</w:t>
      </w:r>
    </w:p>
    <w:p w:rsidRPr="00754BA9" w:rsidR="00646AC2" w:rsidP="004F5B42" w:rsidRDefault="00646AC2">
      <w:pPr>
        <w:jc w:val="center"/>
      </w:pPr>
      <w:r>
        <w:t>_____________</w:t>
      </w:r>
    </w:p>
    <w:sectPr w:rsidRPr="00754BA9" w:rsidR="00646AC2" w:rsidSect="004F5B42">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C8BB" w16cex:dateUtc="2021-05-18T22:14:00Z"/>
  <w16cex:commentExtensible w16cex:durableId="244ECF11" w16cex:dateUtc="2021-05-18T2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78331" w16cid:durableId="244EC8BB"/>
  <w16cid:commentId w16cid:paraId="56D4AF91" w16cid:durableId="245267FB"/>
  <w16cid:commentId w16cid:paraId="0D4745B9" w16cid:durableId="24526800"/>
  <w16cid:commentId w16cid:paraId="1CD79967" w16cid:durableId="244E1277"/>
  <w16cid:commentId w16cid:paraId="4748A2C8" w16cid:durableId="244ECF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F86" w:rsidRDefault="00654F86">
      <w:r>
        <w:separator/>
      </w:r>
    </w:p>
  </w:endnote>
  <w:endnote w:type="continuationSeparator" w:id="0">
    <w:p w:rsidR="00654F86" w:rsidRDefault="00654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4F5B42" w:rsidRDefault="004F5B42" w:rsidP="004F5B42">
    <w:pPr>
      <w:pStyle w:val="Footer"/>
    </w:pPr>
    <w:r>
      <w:t xml:space="preserve">INT/933 – EESC-2021-01530-00-01-AC-TRA (EN) </w:t>
    </w:r>
    <w:r>
      <w:fldChar w:fldCharType="begin"/>
    </w:r>
    <w:r>
      <w:instrText xml:space="preserve"> PAGE  \* Arabic  \* MERGEFORMAT </w:instrText>
    </w:r>
    <w:r>
      <w:fldChar w:fldCharType="separate"/>
    </w:r>
    <w:r w:rsidR="00556308">
      <w:rPr>
        <w:noProof/>
      </w:rPr>
      <w:t>1</w:t>
    </w:r>
    <w:r>
      <w:fldChar w:fldCharType="end"/>
    </w:r>
    <w:r>
      <w:t>/</w:t>
    </w:r>
    <w:fldSimple w:instr=" NUMPAGES ">
      <w:r w:rsidR="00556308">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4F5B42" w:rsidP="004F5B42">
    <w:pPr>
      <w:pStyle w:val="Footer"/>
    </w:pPr>
    <w:r>
      <w:t xml:space="preserve">INT/933 – EESC-2021-01530-00-01-AC-TRA (EN) </w:t>
    </w:r>
    <w:r>
      <w:fldChar w:fldCharType="begin"/>
    </w:r>
    <w:r>
      <w:instrText xml:space="preserve"> PAGE  \* Arabic  \* MERGEFORMAT </w:instrText>
    </w:r>
    <w:r>
      <w:fldChar w:fldCharType="separate"/>
    </w:r>
    <w:r w:rsidR="00277E73">
      <w:rPr>
        <w:noProof/>
      </w:rPr>
      <w:t>9</w:t>
    </w:r>
    <w:r>
      <w:fldChar w:fldCharType="end"/>
    </w:r>
    <w:r>
      <w:t>/</w:t>
    </w:r>
    <w:fldSimple w:instr=" NUMPAGES ">
      <w:r w:rsidR="00277E73">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F86" w:rsidRDefault="00654F86">
      <w:r>
        <w:separator/>
      </w:r>
    </w:p>
  </w:footnote>
  <w:footnote w:type="continuationSeparator" w:id="0">
    <w:p w:rsidR="00654F86" w:rsidRDefault="00654F86">
      <w:r>
        <w:continuationSeparator/>
      </w:r>
    </w:p>
  </w:footnote>
  <w:footnote w:id="1">
    <w:p w:rsidR="002D4F1D" w:rsidRPr="00687720" w:rsidRDefault="002D4F1D" w:rsidP="002D4F1D">
      <w:pPr>
        <w:pStyle w:val="FootnoteText"/>
      </w:pPr>
      <w:r>
        <w:rPr>
          <w:rStyle w:val="FootnoteReference"/>
        </w:rPr>
        <w:footnoteRef/>
      </w:r>
      <w:r>
        <w:t xml:space="preserve"> </w:t>
      </w:r>
      <w:r>
        <w:tab/>
      </w:r>
      <w:hyperlink r:id="rId1" w:tgtFrame="_blank" w:tooltip="SL C 440, 6.12.2018., str.1. – Poveznica se otvara u novom prozoru." w:history="1">
        <w:r>
          <w:rPr>
            <w:rStyle w:val="Hyperlink"/>
            <w:bCs/>
            <w:color w:val="034EA2"/>
            <w:szCs w:val="16"/>
            <w:shd w:val="clear" w:color="auto" w:fill="FFFFFF"/>
          </w:rPr>
          <w:t>SL C 440, 6.12.201</w:t>
        </w:r>
        <w:r>
          <w:rPr>
            <w:rStyle w:val="Hyperlink"/>
            <w:bCs/>
            <w:color w:val="034EA2"/>
            <w:szCs w:val="16"/>
            <w:shd w:val="clear" w:color="auto" w:fill="FFFFFF"/>
          </w:rPr>
          <w:t>8</w:t>
        </w:r>
        <w:r>
          <w:rPr>
            <w:rStyle w:val="Hyperlink"/>
            <w:bCs/>
            <w:color w:val="034EA2"/>
            <w:szCs w:val="16"/>
            <w:shd w:val="clear" w:color="auto" w:fill="FFFFFF"/>
          </w:rPr>
          <w:t>., str.1.</w:t>
        </w:r>
      </w:hyperlink>
    </w:p>
  </w:footnote>
  <w:footnote w:id="2">
    <w:p w:rsidR="00085704" w:rsidRPr="00085704" w:rsidRDefault="00085704">
      <w:pPr>
        <w:pStyle w:val="FootnoteText"/>
      </w:pPr>
      <w:r>
        <w:rPr>
          <w:rStyle w:val="FootnoteReference"/>
        </w:rPr>
        <w:footnoteRef/>
      </w:r>
      <w:r>
        <w:t xml:space="preserve"> </w:t>
      </w:r>
      <w:r>
        <w:tab/>
        <w:t>Pokazatelj Indeksa gospodarske i društvene digitalizacije „2b1”. Trenutno je udio žena među zaposlenim stručnjacima u području IKT-a samo 18 %.</w:t>
      </w:r>
    </w:p>
  </w:footnote>
  <w:footnote w:id="3">
    <w:p w:rsidR="003464D5" w:rsidRPr="003464D5" w:rsidRDefault="003464D5">
      <w:pPr>
        <w:pStyle w:val="FootnoteText"/>
      </w:pPr>
      <w:r>
        <w:rPr>
          <w:rStyle w:val="FootnoteReference"/>
        </w:rPr>
        <w:footnoteRef/>
      </w:r>
      <w:r>
        <w:tab/>
      </w:r>
      <w:hyperlink r:id="rId2" w:history="1">
        <w:r>
          <w:rPr>
            <w:rStyle w:val="Hyperlink"/>
          </w:rPr>
          <w:t>SL C 286, 16.7.2021.</w:t>
        </w:r>
        <w:r>
          <w:rPr>
            <w:rStyle w:val="Hyperlink"/>
          </w:rPr>
          <w:t>,</w:t>
        </w:r>
        <w:r>
          <w:rPr>
            <w:rStyle w:val="Hyperlink"/>
          </w:rPr>
          <w:t xml:space="preserve"> str. 8.</w:t>
        </w:r>
      </w:hyperlink>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510FC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sz w:val="22"/>
        <w:szCs w:val="22"/>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13C2BC8"/>
    <w:multiLevelType w:val="multilevel"/>
    <w:tmpl w:val="8BB06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3"/>
  </w:num>
  <w:num w:numId="72">
    <w:abstractNumId w:val="0"/>
  </w:num>
  <w:num w:numId="73">
    <w:abstractNumId w:val="0"/>
  </w:num>
  <w:num w:numId="74">
    <w:abstractNumId w:val="0"/>
  </w:num>
  <w:num w:numId="75">
    <w:abstractNumId w:val="0"/>
  </w:num>
  <w:num w:numId="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0"/>
  </w:num>
  <w:num w:numId="79">
    <w:abstractNumId w:val="0"/>
    <w:lvlOverride w:ilvl="0">
      <w:startOverride w:val="4"/>
    </w:lvlOverride>
    <w:lvlOverride w:ilvl="1">
      <w:startOverride w:val="4"/>
    </w:lvlOverride>
  </w:num>
  <w:num w:numId="80">
    <w:abstractNumId w:val="2"/>
  </w:num>
  <w:num w:numId="81">
    <w:abstractNumId w:val="0"/>
    <w:lvlOverride w:ilvl="0">
      <w:startOverride w:val="1"/>
    </w:lvlOverride>
    <w:lvlOverride w:ilvl="1">
      <w:startOverride w:val="4"/>
    </w:lvlOverride>
  </w:num>
  <w:num w:numId="82">
    <w:abstractNumId w:val="0"/>
  </w:num>
  <w:num w:numId="83">
    <w:abstractNumId w:val="0"/>
    <w:lvlOverride w:ilvl="0">
      <w:startOverride w:val="6"/>
    </w:lvlOverride>
    <w:lvlOverride w:ilvl="1">
      <w:startOverride w:val="3"/>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18D2"/>
    <w:rsid w:val="00031A4B"/>
    <w:rsid w:val="00033913"/>
    <w:rsid w:val="00033E5B"/>
    <w:rsid w:val="000357A8"/>
    <w:rsid w:val="000400B5"/>
    <w:rsid w:val="000430A6"/>
    <w:rsid w:val="00044240"/>
    <w:rsid w:val="00044923"/>
    <w:rsid w:val="0005249C"/>
    <w:rsid w:val="000534A5"/>
    <w:rsid w:val="0005680D"/>
    <w:rsid w:val="00063FB4"/>
    <w:rsid w:val="0006793E"/>
    <w:rsid w:val="00072E0F"/>
    <w:rsid w:val="000735E5"/>
    <w:rsid w:val="0007392F"/>
    <w:rsid w:val="00074AD8"/>
    <w:rsid w:val="00085704"/>
    <w:rsid w:val="00087B39"/>
    <w:rsid w:val="00094D5B"/>
    <w:rsid w:val="00096502"/>
    <w:rsid w:val="000A23EA"/>
    <w:rsid w:val="000A49BB"/>
    <w:rsid w:val="000B27B5"/>
    <w:rsid w:val="000B3579"/>
    <w:rsid w:val="000C3441"/>
    <w:rsid w:val="000C6D08"/>
    <w:rsid w:val="000C7F53"/>
    <w:rsid w:val="000D0CBF"/>
    <w:rsid w:val="000D2F8E"/>
    <w:rsid w:val="000D5327"/>
    <w:rsid w:val="000D631B"/>
    <w:rsid w:val="000E1DD2"/>
    <w:rsid w:val="000E6D32"/>
    <w:rsid w:val="000F196B"/>
    <w:rsid w:val="000F593B"/>
    <w:rsid w:val="00105361"/>
    <w:rsid w:val="001101F8"/>
    <w:rsid w:val="0011206F"/>
    <w:rsid w:val="0011656A"/>
    <w:rsid w:val="0012220C"/>
    <w:rsid w:val="00136475"/>
    <w:rsid w:val="00136EA3"/>
    <w:rsid w:val="00137575"/>
    <w:rsid w:val="0014073E"/>
    <w:rsid w:val="00142028"/>
    <w:rsid w:val="00144231"/>
    <w:rsid w:val="00150434"/>
    <w:rsid w:val="001524B0"/>
    <w:rsid w:val="0015436F"/>
    <w:rsid w:val="00155721"/>
    <w:rsid w:val="0015678B"/>
    <w:rsid w:val="0016503F"/>
    <w:rsid w:val="0016674F"/>
    <w:rsid w:val="00167CA0"/>
    <w:rsid w:val="00170FB2"/>
    <w:rsid w:val="00170FE5"/>
    <w:rsid w:val="0017120D"/>
    <w:rsid w:val="001714F6"/>
    <w:rsid w:val="00176168"/>
    <w:rsid w:val="00177158"/>
    <w:rsid w:val="001808A5"/>
    <w:rsid w:val="001834D9"/>
    <w:rsid w:val="001844C9"/>
    <w:rsid w:val="00184FD4"/>
    <w:rsid w:val="00186B04"/>
    <w:rsid w:val="00186F1E"/>
    <w:rsid w:val="00190836"/>
    <w:rsid w:val="00193930"/>
    <w:rsid w:val="001950F0"/>
    <w:rsid w:val="001963A5"/>
    <w:rsid w:val="00196F1E"/>
    <w:rsid w:val="00197FCA"/>
    <w:rsid w:val="001A27DB"/>
    <w:rsid w:val="001A5B82"/>
    <w:rsid w:val="001A6852"/>
    <w:rsid w:val="001A742F"/>
    <w:rsid w:val="001B1EA7"/>
    <w:rsid w:val="001B286A"/>
    <w:rsid w:val="001B2D02"/>
    <w:rsid w:val="001B3647"/>
    <w:rsid w:val="001B77FA"/>
    <w:rsid w:val="001C0ABE"/>
    <w:rsid w:val="001C5852"/>
    <w:rsid w:val="001D45F0"/>
    <w:rsid w:val="001E2F97"/>
    <w:rsid w:val="001E4A33"/>
    <w:rsid w:val="001E5C27"/>
    <w:rsid w:val="001F602B"/>
    <w:rsid w:val="001F6AC8"/>
    <w:rsid w:val="002008A9"/>
    <w:rsid w:val="002037D5"/>
    <w:rsid w:val="00206F90"/>
    <w:rsid w:val="00212B03"/>
    <w:rsid w:val="002131AE"/>
    <w:rsid w:val="00215C10"/>
    <w:rsid w:val="00215C2D"/>
    <w:rsid w:val="00221E2D"/>
    <w:rsid w:val="002252C4"/>
    <w:rsid w:val="00226B26"/>
    <w:rsid w:val="002315BE"/>
    <w:rsid w:val="0023183E"/>
    <w:rsid w:val="00235138"/>
    <w:rsid w:val="00243E36"/>
    <w:rsid w:val="00245240"/>
    <w:rsid w:val="0024540B"/>
    <w:rsid w:val="00245EF4"/>
    <w:rsid w:val="00250E11"/>
    <w:rsid w:val="00251383"/>
    <w:rsid w:val="002522C9"/>
    <w:rsid w:val="00252A21"/>
    <w:rsid w:val="00253E4F"/>
    <w:rsid w:val="002542E4"/>
    <w:rsid w:val="00261053"/>
    <w:rsid w:val="00262FDE"/>
    <w:rsid w:val="00263629"/>
    <w:rsid w:val="00274095"/>
    <w:rsid w:val="002769BD"/>
    <w:rsid w:val="00276A75"/>
    <w:rsid w:val="00277E73"/>
    <w:rsid w:val="002809EA"/>
    <w:rsid w:val="002836A4"/>
    <w:rsid w:val="00284272"/>
    <w:rsid w:val="00284962"/>
    <w:rsid w:val="00287B0E"/>
    <w:rsid w:val="002A0B53"/>
    <w:rsid w:val="002A0EEF"/>
    <w:rsid w:val="002A76F9"/>
    <w:rsid w:val="002B2DF7"/>
    <w:rsid w:val="002C1DB1"/>
    <w:rsid w:val="002C3BF4"/>
    <w:rsid w:val="002C4DC2"/>
    <w:rsid w:val="002C749F"/>
    <w:rsid w:val="002D4F1D"/>
    <w:rsid w:val="002D6964"/>
    <w:rsid w:val="002E744D"/>
    <w:rsid w:val="002E7B33"/>
    <w:rsid w:val="002F059B"/>
    <w:rsid w:val="002F5B0B"/>
    <w:rsid w:val="00300924"/>
    <w:rsid w:val="0030596E"/>
    <w:rsid w:val="00306625"/>
    <w:rsid w:val="003073C3"/>
    <w:rsid w:val="00310C50"/>
    <w:rsid w:val="00323637"/>
    <w:rsid w:val="00324E8A"/>
    <w:rsid w:val="00331D87"/>
    <w:rsid w:val="00332850"/>
    <w:rsid w:val="00334478"/>
    <w:rsid w:val="003346B4"/>
    <w:rsid w:val="00334AE6"/>
    <w:rsid w:val="003365D0"/>
    <w:rsid w:val="0034249D"/>
    <w:rsid w:val="003439AB"/>
    <w:rsid w:val="003464D5"/>
    <w:rsid w:val="0035034C"/>
    <w:rsid w:val="00354695"/>
    <w:rsid w:val="0035549B"/>
    <w:rsid w:val="0037336E"/>
    <w:rsid w:val="003755C8"/>
    <w:rsid w:val="00375687"/>
    <w:rsid w:val="0038026B"/>
    <w:rsid w:val="00380AE0"/>
    <w:rsid w:val="00383324"/>
    <w:rsid w:val="00383838"/>
    <w:rsid w:val="00387A75"/>
    <w:rsid w:val="00387F23"/>
    <w:rsid w:val="003904FD"/>
    <w:rsid w:val="003916A0"/>
    <w:rsid w:val="00391862"/>
    <w:rsid w:val="00393C1D"/>
    <w:rsid w:val="00394254"/>
    <w:rsid w:val="003A292F"/>
    <w:rsid w:val="003A37CC"/>
    <w:rsid w:val="003A7034"/>
    <w:rsid w:val="003C1166"/>
    <w:rsid w:val="003C2BFB"/>
    <w:rsid w:val="003C436B"/>
    <w:rsid w:val="003C5337"/>
    <w:rsid w:val="003C5F92"/>
    <w:rsid w:val="003D7A8C"/>
    <w:rsid w:val="003D7C00"/>
    <w:rsid w:val="003E56E5"/>
    <w:rsid w:val="003E7E60"/>
    <w:rsid w:val="003F00D4"/>
    <w:rsid w:val="003F2209"/>
    <w:rsid w:val="003F3D39"/>
    <w:rsid w:val="003F646A"/>
    <w:rsid w:val="003F6761"/>
    <w:rsid w:val="003F6A0A"/>
    <w:rsid w:val="0040058D"/>
    <w:rsid w:val="004024F5"/>
    <w:rsid w:val="00402DE1"/>
    <w:rsid w:val="00403D8B"/>
    <w:rsid w:val="004058F1"/>
    <w:rsid w:val="00407E7D"/>
    <w:rsid w:val="0041283D"/>
    <w:rsid w:val="00413AB4"/>
    <w:rsid w:val="00421373"/>
    <w:rsid w:val="00421FB7"/>
    <w:rsid w:val="004267A4"/>
    <w:rsid w:val="0042763B"/>
    <w:rsid w:val="004278AF"/>
    <w:rsid w:val="0043024C"/>
    <w:rsid w:val="00435AD7"/>
    <w:rsid w:val="00436706"/>
    <w:rsid w:val="00443D38"/>
    <w:rsid w:val="00444EA4"/>
    <w:rsid w:val="00450E7A"/>
    <w:rsid w:val="0045165E"/>
    <w:rsid w:val="00451946"/>
    <w:rsid w:val="00456AF8"/>
    <w:rsid w:val="00464265"/>
    <w:rsid w:val="00465906"/>
    <w:rsid w:val="00470B15"/>
    <w:rsid w:val="00475869"/>
    <w:rsid w:val="00475A77"/>
    <w:rsid w:val="00476741"/>
    <w:rsid w:val="00483604"/>
    <w:rsid w:val="004866A9"/>
    <w:rsid w:val="00486BFF"/>
    <w:rsid w:val="00492774"/>
    <w:rsid w:val="00492CB2"/>
    <w:rsid w:val="00496D7A"/>
    <w:rsid w:val="004A31BC"/>
    <w:rsid w:val="004A3F1A"/>
    <w:rsid w:val="004A3F45"/>
    <w:rsid w:val="004A4F0E"/>
    <w:rsid w:val="004A5738"/>
    <w:rsid w:val="004B1AFA"/>
    <w:rsid w:val="004B7088"/>
    <w:rsid w:val="004C4D12"/>
    <w:rsid w:val="004C5B76"/>
    <w:rsid w:val="004C5C53"/>
    <w:rsid w:val="004D02CD"/>
    <w:rsid w:val="004D0B24"/>
    <w:rsid w:val="004D0CFC"/>
    <w:rsid w:val="004D4B90"/>
    <w:rsid w:val="004D6B95"/>
    <w:rsid w:val="004D7F41"/>
    <w:rsid w:val="004E03A2"/>
    <w:rsid w:val="004E317E"/>
    <w:rsid w:val="004E3954"/>
    <w:rsid w:val="004E5856"/>
    <w:rsid w:val="004F2330"/>
    <w:rsid w:val="004F53C6"/>
    <w:rsid w:val="004F55C6"/>
    <w:rsid w:val="004F5B42"/>
    <w:rsid w:val="004F69DB"/>
    <w:rsid w:val="004F6B87"/>
    <w:rsid w:val="00501C2D"/>
    <w:rsid w:val="00502637"/>
    <w:rsid w:val="005073FF"/>
    <w:rsid w:val="00511140"/>
    <w:rsid w:val="00513CFE"/>
    <w:rsid w:val="00523B6A"/>
    <w:rsid w:val="00525F6C"/>
    <w:rsid w:val="00534A62"/>
    <w:rsid w:val="00535F61"/>
    <w:rsid w:val="00542943"/>
    <w:rsid w:val="00546AB4"/>
    <w:rsid w:val="005514E5"/>
    <w:rsid w:val="00552BFB"/>
    <w:rsid w:val="00556308"/>
    <w:rsid w:val="00563C84"/>
    <w:rsid w:val="00572D08"/>
    <w:rsid w:val="005762F6"/>
    <w:rsid w:val="00582680"/>
    <w:rsid w:val="00584FBE"/>
    <w:rsid w:val="00585483"/>
    <w:rsid w:val="00587378"/>
    <w:rsid w:val="00587C05"/>
    <w:rsid w:val="00590AAB"/>
    <w:rsid w:val="0059172E"/>
    <w:rsid w:val="005938C3"/>
    <w:rsid w:val="0059468C"/>
    <w:rsid w:val="00595125"/>
    <w:rsid w:val="00596F21"/>
    <w:rsid w:val="005A0913"/>
    <w:rsid w:val="005A3D86"/>
    <w:rsid w:val="005B1968"/>
    <w:rsid w:val="005B1CDD"/>
    <w:rsid w:val="005B1E19"/>
    <w:rsid w:val="005B55FC"/>
    <w:rsid w:val="005C2D5E"/>
    <w:rsid w:val="005C3B81"/>
    <w:rsid w:val="005C650C"/>
    <w:rsid w:val="005D086C"/>
    <w:rsid w:val="005D11D3"/>
    <w:rsid w:val="005D4E1F"/>
    <w:rsid w:val="005D4FB3"/>
    <w:rsid w:val="005E2F07"/>
    <w:rsid w:val="005E2FEA"/>
    <w:rsid w:val="005F1D22"/>
    <w:rsid w:val="005F314B"/>
    <w:rsid w:val="005F6F3E"/>
    <w:rsid w:val="00607EBF"/>
    <w:rsid w:val="00611AF2"/>
    <w:rsid w:val="0061212B"/>
    <w:rsid w:val="006127AF"/>
    <w:rsid w:val="00613A98"/>
    <w:rsid w:val="00614F1A"/>
    <w:rsid w:val="00615969"/>
    <w:rsid w:val="00615FB2"/>
    <w:rsid w:val="0061764F"/>
    <w:rsid w:val="00617BD1"/>
    <w:rsid w:val="00617CE8"/>
    <w:rsid w:val="006278A0"/>
    <w:rsid w:val="0063095F"/>
    <w:rsid w:val="00631CBD"/>
    <w:rsid w:val="0063704F"/>
    <w:rsid w:val="006466E4"/>
    <w:rsid w:val="00646AC2"/>
    <w:rsid w:val="00650390"/>
    <w:rsid w:val="00654DAB"/>
    <w:rsid w:val="00654F86"/>
    <w:rsid w:val="006579DF"/>
    <w:rsid w:val="0066204A"/>
    <w:rsid w:val="00670E3C"/>
    <w:rsid w:val="00677F57"/>
    <w:rsid w:val="00681088"/>
    <w:rsid w:val="006861AF"/>
    <w:rsid w:val="00687720"/>
    <w:rsid w:val="0069577E"/>
    <w:rsid w:val="0069634B"/>
    <w:rsid w:val="00696623"/>
    <w:rsid w:val="00697489"/>
    <w:rsid w:val="006A04E9"/>
    <w:rsid w:val="006A4A03"/>
    <w:rsid w:val="006A7543"/>
    <w:rsid w:val="006B0426"/>
    <w:rsid w:val="006B725C"/>
    <w:rsid w:val="006B7750"/>
    <w:rsid w:val="006C273D"/>
    <w:rsid w:val="006C4B39"/>
    <w:rsid w:val="006C5C4F"/>
    <w:rsid w:val="006C6282"/>
    <w:rsid w:val="006C762A"/>
    <w:rsid w:val="006D1CA0"/>
    <w:rsid w:val="006D5FF9"/>
    <w:rsid w:val="006E0772"/>
    <w:rsid w:val="006E0F86"/>
    <w:rsid w:val="006E20B7"/>
    <w:rsid w:val="006E33AF"/>
    <w:rsid w:val="006F0492"/>
    <w:rsid w:val="006F0B15"/>
    <w:rsid w:val="006F0DCC"/>
    <w:rsid w:val="006F5714"/>
    <w:rsid w:val="006F5DD7"/>
    <w:rsid w:val="006F6A4B"/>
    <w:rsid w:val="00703DF9"/>
    <w:rsid w:val="007048EB"/>
    <w:rsid w:val="00704FBB"/>
    <w:rsid w:val="0070726A"/>
    <w:rsid w:val="0071226B"/>
    <w:rsid w:val="00717040"/>
    <w:rsid w:val="007218A3"/>
    <w:rsid w:val="00725DA7"/>
    <w:rsid w:val="00726076"/>
    <w:rsid w:val="00746091"/>
    <w:rsid w:val="00754BA9"/>
    <w:rsid w:val="00755CC6"/>
    <w:rsid w:val="007622A7"/>
    <w:rsid w:val="00770FA3"/>
    <w:rsid w:val="00772BCB"/>
    <w:rsid w:val="007750A2"/>
    <w:rsid w:val="00781633"/>
    <w:rsid w:val="0078171A"/>
    <w:rsid w:val="007817D6"/>
    <w:rsid w:val="00781E1C"/>
    <w:rsid w:val="00787912"/>
    <w:rsid w:val="0079177A"/>
    <w:rsid w:val="00794836"/>
    <w:rsid w:val="007948D5"/>
    <w:rsid w:val="007A15C9"/>
    <w:rsid w:val="007A2E67"/>
    <w:rsid w:val="007A6676"/>
    <w:rsid w:val="007B7445"/>
    <w:rsid w:val="007B7FF5"/>
    <w:rsid w:val="007C2408"/>
    <w:rsid w:val="007C3FC6"/>
    <w:rsid w:val="007D2CE9"/>
    <w:rsid w:val="007D4DB8"/>
    <w:rsid w:val="007D4FED"/>
    <w:rsid w:val="007D69DA"/>
    <w:rsid w:val="007D70B1"/>
    <w:rsid w:val="007D7140"/>
    <w:rsid w:val="007E1CDB"/>
    <w:rsid w:val="007E408C"/>
    <w:rsid w:val="007E50BF"/>
    <w:rsid w:val="007E66A8"/>
    <w:rsid w:val="007E7E21"/>
    <w:rsid w:val="007F0460"/>
    <w:rsid w:val="007F0DA2"/>
    <w:rsid w:val="007F39CE"/>
    <w:rsid w:val="007F4DDA"/>
    <w:rsid w:val="007F5E0D"/>
    <w:rsid w:val="00801085"/>
    <w:rsid w:val="00801A89"/>
    <w:rsid w:val="00804457"/>
    <w:rsid w:val="00812138"/>
    <w:rsid w:val="008144EE"/>
    <w:rsid w:val="008151F2"/>
    <w:rsid w:val="0081777A"/>
    <w:rsid w:val="008210E0"/>
    <w:rsid w:val="00824079"/>
    <w:rsid w:val="00831F0A"/>
    <w:rsid w:val="00833A78"/>
    <w:rsid w:val="00840A99"/>
    <w:rsid w:val="0084585F"/>
    <w:rsid w:val="00846A06"/>
    <w:rsid w:val="00846D92"/>
    <w:rsid w:val="0085242D"/>
    <w:rsid w:val="00853E53"/>
    <w:rsid w:val="0085535C"/>
    <w:rsid w:val="00860E25"/>
    <w:rsid w:val="00862D37"/>
    <w:rsid w:val="00864D76"/>
    <w:rsid w:val="008656C9"/>
    <w:rsid w:val="0086711C"/>
    <w:rsid w:val="00867535"/>
    <w:rsid w:val="00875C5B"/>
    <w:rsid w:val="00883C5F"/>
    <w:rsid w:val="00891C7D"/>
    <w:rsid w:val="00892FA7"/>
    <w:rsid w:val="00897757"/>
    <w:rsid w:val="008A3301"/>
    <w:rsid w:val="008A4DF1"/>
    <w:rsid w:val="008A5636"/>
    <w:rsid w:val="008B125E"/>
    <w:rsid w:val="008B241C"/>
    <w:rsid w:val="008B408B"/>
    <w:rsid w:val="008B4F11"/>
    <w:rsid w:val="008C2362"/>
    <w:rsid w:val="008C3049"/>
    <w:rsid w:val="008C74D9"/>
    <w:rsid w:val="008D4AE9"/>
    <w:rsid w:val="008D5A71"/>
    <w:rsid w:val="008D5CF3"/>
    <w:rsid w:val="008D7D39"/>
    <w:rsid w:val="008E4574"/>
    <w:rsid w:val="008E72EF"/>
    <w:rsid w:val="008F4016"/>
    <w:rsid w:val="008F42FE"/>
    <w:rsid w:val="008F4580"/>
    <w:rsid w:val="008F4A00"/>
    <w:rsid w:val="008F5402"/>
    <w:rsid w:val="0090053A"/>
    <w:rsid w:val="00901C2A"/>
    <w:rsid w:val="009118C7"/>
    <w:rsid w:val="009225B6"/>
    <w:rsid w:val="00925397"/>
    <w:rsid w:val="00933A21"/>
    <w:rsid w:val="00934C10"/>
    <w:rsid w:val="0093662A"/>
    <w:rsid w:val="0094060C"/>
    <w:rsid w:val="00942C4B"/>
    <w:rsid w:val="00944196"/>
    <w:rsid w:val="009606A5"/>
    <w:rsid w:val="00962F1F"/>
    <w:rsid w:val="00965304"/>
    <w:rsid w:val="00971293"/>
    <w:rsid w:val="00973A3B"/>
    <w:rsid w:val="00983EAE"/>
    <w:rsid w:val="0098760B"/>
    <w:rsid w:val="00992528"/>
    <w:rsid w:val="009A11DD"/>
    <w:rsid w:val="009B29CD"/>
    <w:rsid w:val="009B30AA"/>
    <w:rsid w:val="009B5217"/>
    <w:rsid w:val="009B643E"/>
    <w:rsid w:val="009C48DE"/>
    <w:rsid w:val="009C63BD"/>
    <w:rsid w:val="009D60D9"/>
    <w:rsid w:val="009E16EC"/>
    <w:rsid w:val="009E1E1E"/>
    <w:rsid w:val="009E33E3"/>
    <w:rsid w:val="009E7F16"/>
    <w:rsid w:val="009F0EFA"/>
    <w:rsid w:val="009F1E65"/>
    <w:rsid w:val="009F5052"/>
    <w:rsid w:val="009F5D92"/>
    <w:rsid w:val="00A03083"/>
    <w:rsid w:val="00A04C85"/>
    <w:rsid w:val="00A05B52"/>
    <w:rsid w:val="00A100F0"/>
    <w:rsid w:val="00A156E6"/>
    <w:rsid w:val="00A177C5"/>
    <w:rsid w:val="00A21798"/>
    <w:rsid w:val="00A27D86"/>
    <w:rsid w:val="00A30A3D"/>
    <w:rsid w:val="00A31448"/>
    <w:rsid w:val="00A315CA"/>
    <w:rsid w:val="00A33151"/>
    <w:rsid w:val="00A36970"/>
    <w:rsid w:val="00A37DF3"/>
    <w:rsid w:val="00A41EB4"/>
    <w:rsid w:val="00A44BFF"/>
    <w:rsid w:val="00A501E3"/>
    <w:rsid w:val="00A50F0C"/>
    <w:rsid w:val="00A53A73"/>
    <w:rsid w:val="00A56441"/>
    <w:rsid w:val="00A734E0"/>
    <w:rsid w:val="00A736DD"/>
    <w:rsid w:val="00A82869"/>
    <w:rsid w:val="00A85102"/>
    <w:rsid w:val="00A8758C"/>
    <w:rsid w:val="00AA127E"/>
    <w:rsid w:val="00AA19AE"/>
    <w:rsid w:val="00AA423D"/>
    <w:rsid w:val="00AA6A95"/>
    <w:rsid w:val="00AB10DE"/>
    <w:rsid w:val="00AB3668"/>
    <w:rsid w:val="00AB5ED7"/>
    <w:rsid w:val="00AC0B4C"/>
    <w:rsid w:val="00AC0F60"/>
    <w:rsid w:val="00AC3092"/>
    <w:rsid w:val="00AD0AEE"/>
    <w:rsid w:val="00AD2CC1"/>
    <w:rsid w:val="00AD49E3"/>
    <w:rsid w:val="00AD4B4F"/>
    <w:rsid w:val="00AF0616"/>
    <w:rsid w:val="00AF0E28"/>
    <w:rsid w:val="00AF6F9B"/>
    <w:rsid w:val="00AF7375"/>
    <w:rsid w:val="00B01409"/>
    <w:rsid w:val="00B10DBD"/>
    <w:rsid w:val="00B15629"/>
    <w:rsid w:val="00B2372C"/>
    <w:rsid w:val="00B32F70"/>
    <w:rsid w:val="00B373D0"/>
    <w:rsid w:val="00B43AAA"/>
    <w:rsid w:val="00B45E5C"/>
    <w:rsid w:val="00B53064"/>
    <w:rsid w:val="00B53139"/>
    <w:rsid w:val="00B562CE"/>
    <w:rsid w:val="00B62DE2"/>
    <w:rsid w:val="00B74417"/>
    <w:rsid w:val="00B77246"/>
    <w:rsid w:val="00B866CD"/>
    <w:rsid w:val="00B904D0"/>
    <w:rsid w:val="00B93034"/>
    <w:rsid w:val="00B93A81"/>
    <w:rsid w:val="00B97472"/>
    <w:rsid w:val="00B97C5D"/>
    <w:rsid w:val="00BA1290"/>
    <w:rsid w:val="00BA3877"/>
    <w:rsid w:val="00BA65B1"/>
    <w:rsid w:val="00BA6FEE"/>
    <w:rsid w:val="00BB2792"/>
    <w:rsid w:val="00BB76BF"/>
    <w:rsid w:val="00BC0634"/>
    <w:rsid w:val="00BC1AD1"/>
    <w:rsid w:val="00BC1D61"/>
    <w:rsid w:val="00BC1D82"/>
    <w:rsid w:val="00BC4A58"/>
    <w:rsid w:val="00BC613B"/>
    <w:rsid w:val="00BD4008"/>
    <w:rsid w:val="00BD51D9"/>
    <w:rsid w:val="00BD64E2"/>
    <w:rsid w:val="00BE4995"/>
    <w:rsid w:val="00BF429A"/>
    <w:rsid w:val="00BF62BE"/>
    <w:rsid w:val="00C07126"/>
    <w:rsid w:val="00C10B0E"/>
    <w:rsid w:val="00C1215E"/>
    <w:rsid w:val="00C16853"/>
    <w:rsid w:val="00C263F0"/>
    <w:rsid w:val="00C33D41"/>
    <w:rsid w:val="00C40A96"/>
    <w:rsid w:val="00C40AFD"/>
    <w:rsid w:val="00C41E20"/>
    <w:rsid w:val="00C41EA4"/>
    <w:rsid w:val="00C42E3E"/>
    <w:rsid w:val="00C45BD9"/>
    <w:rsid w:val="00C47180"/>
    <w:rsid w:val="00C50AA4"/>
    <w:rsid w:val="00C51C13"/>
    <w:rsid w:val="00C525A5"/>
    <w:rsid w:val="00C5300F"/>
    <w:rsid w:val="00C54594"/>
    <w:rsid w:val="00C66CE0"/>
    <w:rsid w:val="00C71BED"/>
    <w:rsid w:val="00C737B2"/>
    <w:rsid w:val="00C7687D"/>
    <w:rsid w:val="00C81B53"/>
    <w:rsid w:val="00C82AD2"/>
    <w:rsid w:val="00C85F2C"/>
    <w:rsid w:val="00C90FB6"/>
    <w:rsid w:val="00C9220E"/>
    <w:rsid w:val="00C92710"/>
    <w:rsid w:val="00C932BD"/>
    <w:rsid w:val="00C93429"/>
    <w:rsid w:val="00CA16C5"/>
    <w:rsid w:val="00CA415A"/>
    <w:rsid w:val="00CA7A35"/>
    <w:rsid w:val="00CB1536"/>
    <w:rsid w:val="00CB31F2"/>
    <w:rsid w:val="00CB7FB8"/>
    <w:rsid w:val="00CC1F71"/>
    <w:rsid w:val="00CC5588"/>
    <w:rsid w:val="00CC5EB3"/>
    <w:rsid w:val="00CD0340"/>
    <w:rsid w:val="00CD0E7B"/>
    <w:rsid w:val="00CD2ABD"/>
    <w:rsid w:val="00CD4024"/>
    <w:rsid w:val="00CD4617"/>
    <w:rsid w:val="00CD4855"/>
    <w:rsid w:val="00CE0A75"/>
    <w:rsid w:val="00CE6D43"/>
    <w:rsid w:val="00CE780C"/>
    <w:rsid w:val="00CE7888"/>
    <w:rsid w:val="00D10E1C"/>
    <w:rsid w:val="00D161A3"/>
    <w:rsid w:val="00D17B33"/>
    <w:rsid w:val="00D22E49"/>
    <w:rsid w:val="00D23716"/>
    <w:rsid w:val="00D25ED8"/>
    <w:rsid w:val="00D27F8F"/>
    <w:rsid w:val="00D316B8"/>
    <w:rsid w:val="00D31CFC"/>
    <w:rsid w:val="00D3255D"/>
    <w:rsid w:val="00D340C3"/>
    <w:rsid w:val="00D34E39"/>
    <w:rsid w:val="00D409CD"/>
    <w:rsid w:val="00D423D4"/>
    <w:rsid w:val="00D42CAF"/>
    <w:rsid w:val="00D441AD"/>
    <w:rsid w:val="00D476CB"/>
    <w:rsid w:val="00D5310F"/>
    <w:rsid w:val="00D5468B"/>
    <w:rsid w:val="00D601EF"/>
    <w:rsid w:val="00D61533"/>
    <w:rsid w:val="00D63B2F"/>
    <w:rsid w:val="00D70747"/>
    <w:rsid w:val="00D7261D"/>
    <w:rsid w:val="00D755FC"/>
    <w:rsid w:val="00D761E3"/>
    <w:rsid w:val="00D76B6D"/>
    <w:rsid w:val="00D84D07"/>
    <w:rsid w:val="00D8526A"/>
    <w:rsid w:val="00D90E91"/>
    <w:rsid w:val="00DA7008"/>
    <w:rsid w:val="00DB60E1"/>
    <w:rsid w:val="00DC1347"/>
    <w:rsid w:val="00DC1DBE"/>
    <w:rsid w:val="00DC39F1"/>
    <w:rsid w:val="00DC6EB2"/>
    <w:rsid w:val="00DD5523"/>
    <w:rsid w:val="00DE06C8"/>
    <w:rsid w:val="00DE4B35"/>
    <w:rsid w:val="00DF19C1"/>
    <w:rsid w:val="00DF54CA"/>
    <w:rsid w:val="00DF56C9"/>
    <w:rsid w:val="00DF5B64"/>
    <w:rsid w:val="00E02794"/>
    <w:rsid w:val="00E043E3"/>
    <w:rsid w:val="00E0505B"/>
    <w:rsid w:val="00E06332"/>
    <w:rsid w:val="00E07F7A"/>
    <w:rsid w:val="00E11280"/>
    <w:rsid w:val="00E12359"/>
    <w:rsid w:val="00E152FF"/>
    <w:rsid w:val="00E2268D"/>
    <w:rsid w:val="00E2461B"/>
    <w:rsid w:val="00E24886"/>
    <w:rsid w:val="00E24DCD"/>
    <w:rsid w:val="00E276FB"/>
    <w:rsid w:val="00E32595"/>
    <w:rsid w:val="00E32DC6"/>
    <w:rsid w:val="00E33A74"/>
    <w:rsid w:val="00E4030B"/>
    <w:rsid w:val="00E41D56"/>
    <w:rsid w:val="00E457DF"/>
    <w:rsid w:val="00E46642"/>
    <w:rsid w:val="00E5139A"/>
    <w:rsid w:val="00E5413D"/>
    <w:rsid w:val="00E57977"/>
    <w:rsid w:val="00E621AF"/>
    <w:rsid w:val="00E635D7"/>
    <w:rsid w:val="00E64FB0"/>
    <w:rsid w:val="00E70576"/>
    <w:rsid w:val="00E71DED"/>
    <w:rsid w:val="00E72096"/>
    <w:rsid w:val="00E72FF9"/>
    <w:rsid w:val="00E83954"/>
    <w:rsid w:val="00E86506"/>
    <w:rsid w:val="00E91730"/>
    <w:rsid w:val="00E95B50"/>
    <w:rsid w:val="00E96F04"/>
    <w:rsid w:val="00E97AEC"/>
    <w:rsid w:val="00EA0FA7"/>
    <w:rsid w:val="00EA20FE"/>
    <w:rsid w:val="00EB491E"/>
    <w:rsid w:val="00EB681B"/>
    <w:rsid w:val="00EB70A6"/>
    <w:rsid w:val="00EC4FAD"/>
    <w:rsid w:val="00EE3CFA"/>
    <w:rsid w:val="00EE69E4"/>
    <w:rsid w:val="00EF0CBA"/>
    <w:rsid w:val="00EF29F6"/>
    <w:rsid w:val="00EF2A7F"/>
    <w:rsid w:val="00EF53B3"/>
    <w:rsid w:val="00EF6A2F"/>
    <w:rsid w:val="00EF6B37"/>
    <w:rsid w:val="00EF7E90"/>
    <w:rsid w:val="00F002B6"/>
    <w:rsid w:val="00F10AFE"/>
    <w:rsid w:val="00F12FE8"/>
    <w:rsid w:val="00F14058"/>
    <w:rsid w:val="00F15C6C"/>
    <w:rsid w:val="00F17173"/>
    <w:rsid w:val="00F20987"/>
    <w:rsid w:val="00F21F7E"/>
    <w:rsid w:val="00F224DC"/>
    <w:rsid w:val="00F2687F"/>
    <w:rsid w:val="00F26A5E"/>
    <w:rsid w:val="00F27F29"/>
    <w:rsid w:val="00F32D54"/>
    <w:rsid w:val="00F36C54"/>
    <w:rsid w:val="00F418EA"/>
    <w:rsid w:val="00F41A29"/>
    <w:rsid w:val="00F44C1C"/>
    <w:rsid w:val="00F518DF"/>
    <w:rsid w:val="00F544DB"/>
    <w:rsid w:val="00F570EF"/>
    <w:rsid w:val="00F648EA"/>
    <w:rsid w:val="00F6502E"/>
    <w:rsid w:val="00F65663"/>
    <w:rsid w:val="00F75147"/>
    <w:rsid w:val="00F756C0"/>
    <w:rsid w:val="00F75A40"/>
    <w:rsid w:val="00F77637"/>
    <w:rsid w:val="00F8435D"/>
    <w:rsid w:val="00F862E5"/>
    <w:rsid w:val="00F87DD0"/>
    <w:rsid w:val="00F93360"/>
    <w:rsid w:val="00F93FE4"/>
    <w:rsid w:val="00F96A13"/>
    <w:rsid w:val="00F97E4E"/>
    <w:rsid w:val="00FA1A40"/>
    <w:rsid w:val="00FA1D6E"/>
    <w:rsid w:val="00FA217B"/>
    <w:rsid w:val="00FA4308"/>
    <w:rsid w:val="00FB0085"/>
    <w:rsid w:val="00FB0BC5"/>
    <w:rsid w:val="00FB0BCC"/>
    <w:rsid w:val="00FB6A3A"/>
    <w:rsid w:val="00FB7F70"/>
    <w:rsid w:val="00FC0FE5"/>
    <w:rsid w:val="00FC1D8F"/>
    <w:rsid w:val="00FC6D2A"/>
    <w:rsid w:val="00FD1ABC"/>
    <w:rsid w:val="00FD5FF3"/>
    <w:rsid w:val="00FD7414"/>
    <w:rsid w:val="00FD7DDF"/>
    <w:rsid w:val="00FE4C92"/>
    <w:rsid w:val="00FE5689"/>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FF969E6"/>
  <w15:docId w15:val="{4CDE36E7-4004-4474-BBB5-374DB3F33C9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r-HR"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hr-HR" w:eastAsia="en-US" w:bidi="ar-SA"/>
    </w:rPr>
  </w:style>
  <w:style w:type="character" w:customStyle="1" w:styleId="Heading2Char">
    <w:name w:val="Heading 2 Char"/>
    <w:basedOn w:val="DefaultParagraphFont"/>
    <w:link w:val="Heading2"/>
    <w:locked/>
    <w:rsid w:val="00CB1536"/>
    <w:rPr>
      <w:lang w:val="hr-HR" w:eastAsia="en-US" w:bidi="ar-SA"/>
    </w:rPr>
  </w:style>
  <w:style w:type="character" w:customStyle="1" w:styleId="Heading3Char">
    <w:name w:val="Heading 3 Char"/>
    <w:basedOn w:val="DefaultParagraphFont"/>
    <w:link w:val="Heading3"/>
    <w:locked/>
    <w:rsid w:val="00CB1536"/>
    <w:rPr>
      <w:lang w:val="hr-HR" w:eastAsia="en-US" w:bidi="ar-SA"/>
    </w:rPr>
  </w:style>
  <w:style w:type="character" w:customStyle="1" w:styleId="Heading4Char">
    <w:name w:val="Heading 4 Char"/>
    <w:basedOn w:val="DefaultParagraphFont"/>
    <w:link w:val="Heading4"/>
    <w:locked/>
    <w:rsid w:val="00CB1536"/>
    <w:rPr>
      <w:lang w:val="hr-HR" w:eastAsia="en-US" w:bidi="ar-SA"/>
    </w:rPr>
  </w:style>
  <w:style w:type="character" w:customStyle="1" w:styleId="Heading5Char">
    <w:name w:val="Heading 5 Char"/>
    <w:basedOn w:val="DefaultParagraphFont"/>
    <w:link w:val="Heading5"/>
    <w:locked/>
    <w:rsid w:val="00CB1536"/>
    <w:rPr>
      <w:lang w:val="hr-HR" w:eastAsia="en-US" w:bidi="ar-SA"/>
    </w:rPr>
  </w:style>
  <w:style w:type="character" w:customStyle="1" w:styleId="Heading6Char">
    <w:name w:val="Heading 6 Char"/>
    <w:basedOn w:val="DefaultParagraphFont"/>
    <w:link w:val="Heading6"/>
    <w:locked/>
    <w:rsid w:val="00CB1536"/>
    <w:rPr>
      <w:lang w:val="hr-HR" w:eastAsia="en-US" w:bidi="ar-SA"/>
    </w:rPr>
  </w:style>
  <w:style w:type="character" w:customStyle="1" w:styleId="Heading7Char">
    <w:name w:val="Heading 7 Char"/>
    <w:basedOn w:val="DefaultParagraphFont"/>
    <w:link w:val="Heading7"/>
    <w:locked/>
    <w:rsid w:val="00CB1536"/>
    <w:rPr>
      <w:lang w:val="hr-HR" w:eastAsia="en-US" w:bidi="ar-SA"/>
    </w:rPr>
  </w:style>
  <w:style w:type="character" w:customStyle="1" w:styleId="Heading8Char">
    <w:name w:val="Heading 8 Char"/>
    <w:basedOn w:val="DefaultParagraphFont"/>
    <w:link w:val="Heading8"/>
    <w:locked/>
    <w:rsid w:val="00CB1536"/>
    <w:rPr>
      <w:lang w:val="hr-HR" w:eastAsia="en-US" w:bidi="ar-SA"/>
    </w:rPr>
  </w:style>
  <w:style w:type="character" w:customStyle="1" w:styleId="Heading9Char">
    <w:name w:val="Heading 9 Char"/>
    <w:basedOn w:val="DefaultParagraphFont"/>
    <w:link w:val="Heading9"/>
    <w:locked/>
    <w:rsid w:val="00CB1536"/>
    <w:rPr>
      <w:lang w:val="hr-HR"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Schriftart: 9 pt,Schriftart: 10 pt,Schriftart: 8 pt,WB-Fußnotentext,FoodNote,ft,Footnote text,Footnote Text Char Char,Footnote Text Char1 Char Char,Footnote Text Char Char Char Char,fn,f,Footnotes,Footnote ak,C,Fußnotentextf"/>
    <w:basedOn w:val="Normal"/>
    <w:link w:val="FootnoteTextChar"/>
    <w:uiPriority w:val="99"/>
    <w:qFormat/>
    <w:rsid w:val="007E50BF"/>
    <w:pPr>
      <w:keepLines/>
      <w:spacing w:after="60" w:line="240" w:lineRule="auto"/>
      <w:ind w:left="567" w:hanging="567"/>
    </w:pPr>
    <w:rPr>
      <w:sz w:val="16"/>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locked/>
    <w:rsid w:val="00CB1536"/>
    <w:rPr>
      <w:sz w:val="16"/>
      <w:lang w:val="hr-HR"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aliases w:val="Footnote symbol,Footnote reference number,Footnote,Times 10 Point,Exposant 3 Point,Ref,de nota al pie,note TESI,SUPERS,EN Footnote Reference,EN Footnote text,-E Fußnotenzeichen,BVI fnr,Footnote number,Footnote Reference Number,FR"/>
    <w:basedOn w:val="DefaultParagraphFont"/>
    <w:link w:val="FootnotesymbolCarZchn"/>
    <w:uiPriority w:val="99"/>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hr-HR" w:eastAsia="en-US" w:bidi="ar-SA"/>
    </w:rPr>
  </w:style>
  <w:style w:type="paragraph" w:customStyle="1" w:styleId="quotes">
    <w:name w:val="quotes"/>
    <w:basedOn w:val="Normal"/>
    <w:next w:val="Normal"/>
    <w:rsid w:val="007E50BF"/>
    <w:pPr>
      <w:ind w:left="720"/>
    </w:pPr>
    <w:rPr>
      <w:i/>
    </w:rPr>
  </w:style>
  <w:style w:type="character" w:styleId="CommentReference">
    <w:name w:val="annotation reference"/>
    <w:basedOn w:val="DefaultParagraphFont"/>
    <w:semiHidden/>
    <w:unhideWhenUsed/>
    <w:rsid w:val="002D4F1D"/>
    <w:rPr>
      <w:sz w:val="16"/>
      <w:szCs w:val="16"/>
    </w:rPr>
  </w:style>
  <w:style w:type="paragraph" w:styleId="CommentText">
    <w:name w:val="annotation text"/>
    <w:basedOn w:val="Normal"/>
    <w:link w:val="CommentTextChar"/>
    <w:semiHidden/>
    <w:unhideWhenUsed/>
    <w:rsid w:val="002D4F1D"/>
    <w:pPr>
      <w:spacing w:line="240" w:lineRule="auto"/>
    </w:pPr>
    <w:rPr>
      <w:sz w:val="20"/>
      <w:szCs w:val="20"/>
    </w:rPr>
  </w:style>
  <w:style w:type="character" w:customStyle="1" w:styleId="CommentTextChar">
    <w:name w:val="Comment Text Char"/>
    <w:basedOn w:val="DefaultParagraphFont"/>
    <w:link w:val="CommentText"/>
    <w:semiHidden/>
    <w:rsid w:val="002D4F1D"/>
    <w:rPr>
      <w:sz w:val="20"/>
      <w:szCs w:val="20"/>
      <w:lang w:eastAsia="en-US" w:bidi="ar-SA"/>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2D4F1D"/>
    <w:pPr>
      <w:spacing w:after="160" w:line="240" w:lineRule="exact"/>
    </w:pPr>
    <w:rPr>
      <w:sz w:val="24"/>
      <w:vertAlign w:val="superscript"/>
      <w:lang w:eastAsia="en-GB" w:bidi="en-GB"/>
    </w:rPr>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N,L"/>
    <w:basedOn w:val="Normal"/>
    <w:link w:val="ListParagraphChar"/>
    <w:uiPriority w:val="34"/>
    <w:qFormat/>
    <w:rsid w:val="00E72096"/>
    <w:pPr>
      <w:ind w:left="720"/>
      <w:contextualSpacing/>
    </w:pPr>
  </w:style>
  <w:style w:type="character" w:customStyle="1" w:styleId="ListParagraphChar">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locked/>
    <w:rsid w:val="00E72096"/>
    <w:rPr>
      <w:lang w:eastAsia="en-US" w:bidi="ar-SA"/>
    </w:rPr>
  </w:style>
  <w:style w:type="table" w:styleId="TableGrid">
    <w:name w:val="Table Grid"/>
    <w:basedOn w:val="TableNormal"/>
    <w:locked/>
    <w:rsid w:val="00FB0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33" Type="http://schemas.openxmlformats.org/officeDocument/2006/relationships/customXml" Target="../customXml/item4.xml"/><Relationship Id="rId16" Type="http://schemas.openxmlformats.org/officeDocument/2006/relationships/footer" Target="footer2.xml"/><Relationship Id="rId20" Type="http://schemas.openxmlformats.org/officeDocument/2006/relationships/fontTable" Target="fontTable.xml"/><Relationship Id="rId29" Type="http://schemas.microsoft.com/office/2016/09/relationships/commentsIds" Target="commentsIds.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3.xml"/><Relationship Id="rId15" Type="http://schemas.openxmlformats.org/officeDocument/2006/relationships/header" Target="header2.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ustomXml" Target="../customXml/item2.xml"/><Relationship Id="rId9" Type="http://schemas.openxmlformats.org/officeDocument/2006/relationships/webSettings" Target="webSettings.xml"/><Relationship Id="rId14" Type="http://schemas.openxmlformats.org/officeDocument/2006/relationships/header" Target="header1.xml"/><Relationship Id="rId30"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CELEX:52020IE1468" TargetMode="External"/><Relationship Id="rId1" Type="http://schemas.openxmlformats.org/officeDocument/2006/relationships/hyperlink" Target="https://eur-lex.europa.eu/legal-content/hr/TXT/?uri=OJ:C:2018:440: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V63NAVDT5PV3-2031897445-8426</_dlc_DocId>
    <_dlc_DocIdUrl xmlns="01cfe264-354f-4f3f-acd0-cf26eb309336">
      <Url>http://dm2016/eesc/2021/_layouts/15/DocIdRedir.aspx?ID=V63NAVDT5PV3-2031897445-8426</Url>
      <Description>V63NAVDT5PV3-2031897445-8426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2021-07-29T12:00:00+00:00</ProductionDate>
    <DocumentNumber xmlns="41556846-9ee7-457c-85d1-9e13f59df375">1530</DocumentNumber>
    <FicheYear xmlns="01cfe264-354f-4f3f-acd0-cf26eb309336" xsi:nil="true"/>
    <DocumentVersion xmlns="01cfe264-354f-4f3f-acd0-cf26eb309336">1</DocumentVersion>
    <DossierNumber xmlns="01cfe264-354f-4f3f-acd0-cf26eb309336">933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Rapporteur xmlns="01cfe264-354f-4f3f-acd0-cf26eb309336">LOBO XAVIER</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9901</FicheNumber>
    <OriginalSender xmlns="01cfe264-354f-4f3f-acd0-cf26eb309336">
      <UserInfo>
        <DisplayName>Knezovic Zrinka</DisplayName>
        <AccountId>2116</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Props1.xml><?xml version="1.0" encoding="utf-8"?>
<ds:datastoreItem xmlns:ds="http://schemas.openxmlformats.org/officeDocument/2006/customXml" ds:itemID="{62A65AE0-44DB-407F-B189-0D436507A1DE}"/>
</file>

<file path=customXml/itemProps2.xml><?xml version="1.0" encoding="utf-8"?>
<ds:datastoreItem xmlns:ds="http://schemas.openxmlformats.org/officeDocument/2006/customXml" ds:itemID="{9D8E5DE8-82D0-43B3-9808-07625DC6CE2F}"/>
</file>

<file path=customXml/itemProps3.xml><?xml version="1.0" encoding="utf-8"?>
<ds:datastoreItem xmlns:ds="http://schemas.openxmlformats.org/officeDocument/2006/customXml" ds:itemID="{A525C4EE-4E8D-49E5-8D48-D2CAF51F1B44}"/>
</file>

<file path=customXml/itemProps4.xml><?xml version="1.0" encoding="utf-8"?>
<ds:datastoreItem xmlns:ds="http://schemas.openxmlformats.org/officeDocument/2006/customXml" ds:itemID="{BD1AF8FE-7D97-4040-B99E-0B4939B1A39D}"/>
</file>

<file path=docProps/app.xml><?xml version="1.0" encoding="utf-8"?>
<Properties xmlns="http://schemas.openxmlformats.org/officeDocument/2006/extended-properties" xmlns:vt="http://schemas.openxmlformats.org/officeDocument/2006/docPropsVTypes">
  <Template>Styles</Template>
  <TotalTime>4</TotalTime>
  <Pages>9</Pages>
  <Words>2939</Words>
  <Characters>17715</Characters>
  <Application>Microsoft Office Word</Application>
  <DocSecurity>0</DocSecurity>
  <Lines>147</Lines>
  <Paragraphs>41</Paragraphs>
  <ScaleCrop>false</ScaleCrop>
  <HeadingPairs>
    <vt:vector size="6" baseType="variant">
      <vt:variant>
        <vt:lpstr>Title</vt:lpstr>
      </vt:variant>
      <vt:variant>
        <vt:i4>1</vt:i4>
      </vt:variant>
      <vt:variant>
        <vt:lpstr>Título</vt:lpstr>
      </vt:variant>
      <vt:variant>
        <vt:i4>1</vt:i4>
      </vt:variant>
      <vt:variant>
        <vt:lpstr>Titlu</vt:lpstr>
      </vt:variant>
      <vt:variant>
        <vt:i4>1</vt:i4>
      </vt:variant>
    </vt:vector>
  </HeadingPairs>
  <TitlesOfParts>
    <vt:vector size="3" baseType="lpstr">
      <vt:lpstr>2030 Digital Targets</vt:lpstr>
      <vt:lpstr>2030 Digital Targets</vt:lpstr>
      <vt:lpstr>European Agenda on Migration: Second implementation package - A permanent crisis relocation mechanism under the Dublin system</vt:lpstr>
    </vt:vector>
  </TitlesOfParts>
  <Company>CESE-CdR</Company>
  <LinksUpToDate>false</LinksUpToDate>
  <CharactersWithSpaces>20613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Digitalni ciljevi za razdoblje do 2030.</dc:title>
  <dc:subject>AC</dc:subject>
  <dc:creator>Tomas Vocasek</dc:creator>
  <cp:keywords>EESC-2021-01530-00-01-AC-TRA-EN</cp:keywords>
  <dc:description>Rapporteur: LOBO XAVIER - Original language: EN - Date of document: 29/07/2021 - Date of meeting:  - External documents: COM(2021)118-final - Administrator: MME TETU Alice</dc:description>
  <cp:lastModifiedBy>Knezovic Zrinka</cp:lastModifiedBy>
  <cp:revision>3</cp:revision>
  <cp:lastPrinted>2016-01-26T08:31:00Z</cp:lastPrinted>
  <dcterms:created xsi:type="dcterms:W3CDTF">2021-07-29T07:22:00Z</dcterms:created>
  <dcterms:modified xsi:type="dcterms:W3CDTF">2021-07-29T07:25:00Z</dcterms:modified>
  <cp:category>INT/933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28/07/2021, 09/07/2021, 16/06/2021, 16/06/2021, 08/06/2021, 28/05/2021, 04/11/2015, 27/10/2015, 19/10/2015, 09/10/2015, 05/10/2015, 05/10/2015, 26/08/2015, 26/08/2015, 25/08/2015</vt:lpwstr>
  </property>
  <property fmtid="{D5CDD505-2E9C-101B-9397-08002B2CF9AE}" pid="4" name="Pref_Time">
    <vt:lpwstr>16:04:06, 10:38:18, 12:08:45, 11:50:43, 11:23:42, 11:01:38, 12/10/07, 14:44:02, 16/04/16, 14:09:30, 16:24:55, 16:04:02, 08:56:14, 07:27:56, 17:31:53</vt:lpwstr>
  </property>
  <property fmtid="{D5CDD505-2E9C-101B-9397-08002B2CF9AE}" pid="5" name="Pref_User">
    <vt:lpwstr>amett, hnic, hnic, YMUR, amett, hnic, ssex, enied, amett, tvoc, mreg, mreg, amett, enied, ssex</vt:lpwstr>
  </property>
  <property fmtid="{D5CDD505-2E9C-101B-9397-08002B2CF9AE}" pid="6" name="Pref_FileName">
    <vt:lpwstr>EESC-2021-01530-00-01-AC-ORI.docx, EESC-2021-01530-00-00-AC-ORI.docx, EESC-2021-01530-00-00-AS-TRA-EN-CRR.docx, EESC-2021-01530-00-00-AS-CRR-EN.docx, EESC-2021-01530-00-01-PA-ORI.docx, EESC-2021-01530-00-00-PA-ORI.docx, EESC-2015-05408-00-00-PA-CRR-EN.doc</vt:lpwstr>
  </property>
  <property fmtid="{D5CDD505-2E9C-101B-9397-08002B2CF9AE}" pid="7" name="ContentTypeId">
    <vt:lpwstr>0x010100EA97B91038054C99906057A708A1480A00BC3D2D1EF63C7B4BA734CC92C084744E</vt:lpwstr>
  </property>
  <property fmtid="{D5CDD505-2E9C-101B-9397-08002B2CF9AE}" pid="8" name="_dlc_DocIdItemGuid">
    <vt:lpwstr>20b9d300-f7b1-4eb8-98bb-a608622ad7ac</vt:lpwstr>
  </property>
  <property fmtid="{D5CDD505-2E9C-101B-9397-08002B2CF9AE}" pid="9" name="AvailableTranslations">
    <vt:lpwstr>12;#DA|5d49c027-8956-412b-aa16-e85a0f96ad0e;#66;#GA|762d2456-c427-4ecb-b312-af3dad8e258c;#13;#PT|50ccc04a-eadd-42ae-a0cb-acaf45f812ba;#15;#LT|a7ff5ce7-6123-4f68-865a-a57c31810414;#11;#DE|f6b31e5a-26fa-4935-b661-318e46daf27e;#35;#PL|1e03da61-4678-4e07-b136-b5024ca9197b;#39;#SL|98a412ae-eb01-49e9-ae3d-585a81724cfc;#37;#EL|6d4f4d51-af9b-4650-94b4-4276bee85c91;#25;#CS|72f9705b-0217-4fd3-bea2-cbc7ed80e26e;#45;#RO|feb747a2-64cd-4299-af12-4833ddc30497;#4;#FR|d2afafd3-4c81-4f60-8f52-ee33f2f54ff3;#41;#BG|1a1b3951-7821-4e6a-85f5-5673fc08bd2c;#18;#LV|46f7e311-5d9f-4663-b433-18aeccb7ace7;#42;#FI|87606a43-d45f-42d6-b8c9-e1a3457db5b7;#40;#SV|c2ed69e7-a339-43d7-8f22-d93680a92aa0;#38;#HR|2f555653-ed1a-4fe6-8362-9082d95989e5;#16;#IT|0774613c-01ed-4e5d-a25d-11d2388de825;#14;#ET|ff6c3f4c-b02c-4c3c-ab07-2c37995a7a0a;#21;#HU|6b229040-c589-4408-b4c1-4285663d20a8;#58;#MT|7df99101-6854-4a26-b53a-b88c0da02c26;#28;#ES|e7a6b05b-ae16-40c8-add9-68b64b03aeba;#9;#EN|f2175f21-25d7-44a3-96da-d6a61b075e1b;#19;#SK|46d9fce0-ef79-4f71-b89b-cd6aa82426b8;#17;#NL|55c6556c-b4f4-441d-9acf-c498d4f838bd</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1530</vt:i4>
  </property>
  <property fmtid="{D5CDD505-2E9C-101B-9397-08002B2CF9AE}" pid="14" name="DocumentVersion">
    <vt:i4>1</vt:i4>
  </property>
  <property fmtid="{D5CDD505-2E9C-101B-9397-08002B2CF9AE}" pid="15" name="DossierNumber">
    <vt:i4>933</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31;#INT|e1edfecb-ed43-427b-bb02-d45fe6645386</vt:lpwstr>
  </property>
  <property fmtid="{D5CDD505-2E9C-101B-9397-08002B2CF9AE}" pid="19" name="DocumentSource">
    <vt:lpwstr>1;#EESC|422833ec-8d7e-4e65-8e4e-8bed07ffb729</vt:lpwstr>
  </property>
  <property fmtid="{D5CDD505-2E9C-101B-9397-08002B2CF9AE}" pid="20" name="AdoptionDate">
    <vt:filetime>2021-07-07T12:00:00Z</vt:filetime>
  </property>
  <property fmtid="{D5CDD505-2E9C-101B-9397-08002B2CF9AE}" pid="21" name="DocumentType">
    <vt:lpwstr>86;#AC|a4cc1d15-fb08-4679-ad46-e4e0cba5fe92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DA|5d49c027-8956-412b-aa16-e85a0f96ad0e;PT|50ccc04a-eadd-42ae-a0cb-acaf45f812ba;DE|f6b31e5a-26fa-4935-b661-318e46daf27e;EL|6d4f4d51-af9b-4650-94b4-4276bee85c91;SV|c2ed69e7-a339-43d7-8f22-d93680a92aa0;IT|0774613c-01ed-4e5d-a25d-11d2388de825;MT|7df99101-6854-4a26-b53a-b88c0da02c26;ES|e7a6b05b-ae16-40c8-add9-68b64b03aeba;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31;#INT|e1edfecb-ed43-427b-bb02-d45fe6645386;#28;#ES|e7a6b05b-ae16-40c8-add9-68b64b03aeba;#86;#AC|a4cc1d15-fb08-4679-ad46-e4e0cba5fe92;#58;#MT|7df99101-6854-4a26-b53a-b88c0da02c26;#16;#IT|0774613c-01ed-4e5d-a25d-11d2388de825;#13;#PT|50ccc04a-eadd-42ae-a0cb-acaf45f812ba;#12;#DA|5d49c027-8956-412b-aa16-e85a0f96ad0e;#11;#DE|f6b31e5a-26fa-4935-b661-318e46daf27e;#9;#EN|f2175f21-25d7-44a3-96da-d6a61b075e1b;#7;#TRA|150d2a88-1431-44e6-a8ca-0bb753ab8672;#6;#Final|ea5e6674-7b27-4bac-b091-73adbb394efe;#5;#Unrestricted|826e22d7-d029-4ec0-a450-0c28ff673572;#40;#SV|c2ed69e7-a339-43d7-8f22-d93680a92aa0;#1;#EESC|422833ec-8d7e-4e65-8e4e-8bed07ffb729;#37;#EL|6d4f4d51-af9b-4650-94b4-4276bee85c91</vt:lpwstr>
  </property>
  <property fmtid="{D5CDD505-2E9C-101B-9397-08002B2CF9AE}" pid="33" name="Rapporteur">
    <vt:lpwstr>LOBO XAVIER</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9901</vt:i4>
  </property>
  <property fmtid="{D5CDD505-2E9C-101B-9397-08002B2CF9AE}" pid="38" name="DocumentLanguage">
    <vt:lpwstr>38;#HR|2f555653-ed1a-4fe6-8362-9082d95989e5</vt:lpwstr>
  </property>
</Properties>
</file>