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754BA9" w:rsidR="00646AC2" w:rsidP="008C74D9" w:rsidRDefault="00865FA8">
      <w:pPr>
        <w:jc w:val="center"/>
      </w:pPr>
      <w:r>
        <w:rPr>
          <w:noProof/>
          <w:lang w:val="en-US"/>
        </w:rPr>
        <w:drawing>
          <wp:inline distT="0" distB="0" distL="0" distR="0">
            <wp:extent cx="1792605" cy="1239520"/>
            <wp:effectExtent l="0" t="0" r="0" b="0"/>
            <wp:docPr id="1" name="Picture 1" title="EESCLogo_SV"/>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8C74D9">
        <w:rPr>
          <w:noProof/>
          <w:sz w:val="20"/>
          <w:lang w:val="en-US"/>
        </w:rPr>
        <mc:AlternateContent>
          <mc:Choice Requires="wps">
            <w:drawing>
              <wp:anchor distT="0" distB="0" distL="114300" distR="114300" simplePos="0" relativeHeight="251659264" behindDoc="1" locked="0" layoutInCell="0" allowOverlap="1" wp14:editId="15FE452D" wp14:anchorId="131133D6">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2C1DB1" w:rsidRDefault="002C1DB1">
                            <w:pPr>
                              <w:jc w:val="center"/>
                              <w:rPr>
                                <w:rFonts w:ascii="Arial" w:hAnsi="Arial" w:cs="Arial"/>
                                <w:b/>
                                <w:bCs/>
                                <w:sz w:val="48"/>
                              </w:rPr>
                            </w:pPr>
                            <w:r>
                              <w:rPr>
                                <w:rFonts w:ascii="Arial" w:hAnsi="Arial"/>
                                <w:b/>
                                <w:bCs/>
                                <w:sz w:val="48"/>
                              </w:rPr>
                              <w:t>SV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131133D6">
                <v:stroke joinstyle="miter"/>
                <v:path gradientshapeok="t" o:connecttype="rect"/>
              </v:shapetype>
              <v:shape id="Text Box 17"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2C1DB1" w:rsidRDefault="002C1DB1">
                      <w:pPr>
                        <w:jc w:val="center"/>
                        <w:rPr>
                          <w:rFonts w:ascii="Arial" w:hAnsi="Arial" w:cs="Arial"/>
                          <w:b/>
                          <w:bCs/>
                          <w:sz w:val="48"/>
                        </w:rPr>
                      </w:pPr>
                      <w:r>
                        <w:rPr>
                          <w:rFonts w:ascii="Arial" w:hAnsi="Arial"/>
                          <w:b/>
                          <w:bCs/>
                          <w:sz w:val="48"/>
                        </w:rPr>
                        <w:t>SV</w:t>
                      </w:r>
                    </w:p>
                  </w:txbxContent>
                </v:textbox>
                <w10:wrap anchorx="page" anchory="page"/>
              </v:shape>
            </w:pict>
          </mc:Fallback>
        </mc:AlternateContent>
      </w:r>
    </w:p>
    <w:p w:rsidRPr="00754BA9" w:rsidR="008C74D9" w:rsidP="0015678B" w:rsidRDefault="008C74D9"/>
    <w:p w:rsidRPr="00754BA9" w:rsidR="00646AC2" w:rsidP="0015678B" w:rsidRDefault="00FE5689">
      <w:pPr>
        <w:jc w:val="right"/>
      </w:pPr>
      <w:r>
        <w:rPr>
          <w:b/>
        </w:rPr>
        <w:t>INT/933</w:t>
      </w:r>
    </w:p>
    <w:p w:rsidRPr="00754BA9" w:rsidR="00563C84" w:rsidP="0015678B" w:rsidRDefault="000D631B">
      <w:pPr>
        <w:jc w:val="right"/>
      </w:pPr>
      <w:r>
        <w:rPr>
          <w:b/>
        </w:rPr>
        <w:t>Digitala mål för 2030</w:t>
      </w:r>
    </w:p>
    <w:p w:rsidRPr="00754BA9" w:rsidR="009B30AA" w:rsidP="0015678B" w:rsidRDefault="009B30AA"/>
    <w:p w:rsidRPr="00754BA9" w:rsidR="009B30AA" w:rsidP="0015678B" w:rsidRDefault="009B30AA"/>
    <w:p w:rsidRPr="00754BA9" w:rsidR="00BA65B1" w:rsidP="00BA65B1" w:rsidRDefault="00F21F7E">
      <w:pPr>
        <w:jc w:val="center"/>
        <w:rPr>
          <w:b/>
        </w:rPr>
      </w:pPr>
      <w:r>
        <w:rPr>
          <w:b/>
          <w:sz w:val="28"/>
        </w:rPr>
        <w:t>YTTRANDE</w:t>
      </w:r>
      <w:r>
        <w:rPr>
          <w:b/>
          <w:sz w:val="28"/>
        </w:rPr>
        <w:br/>
      </w:r>
      <w:r>
        <w:rPr>
          <w:b/>
        </w:rPr>
        <w:br/>
      </w:r>
      <w:r>
        <w:t>Europeiska ekonomiska och sociala kommittén</w:t>
      </w:r>
      <w:r>
        <w:br/>
      </w:r>
      <w:r>
        <w:rPr>
          <w:b/>
        </w:rPr>
        <w:br/>
        <w:t xml:space="preserve">Meddelande från kommissionen till Europaparlamentet, rådet, </w:t>
      </w:r>
      <w:r w:rsidR="0070134D">
        <w:rPr>
          <w:b/>
        </w:rPr>
        <w:br/>
      </w:r>
      <w:r>
        <w:rPr>
          <w:b/>
        </w:rPr>
        <w:t>Europeiska ekonomiska och sociala kommittén samt Regionkommittén</w:t>
      </w:r>
      <w:r>
        <w:rPr>
          <w:b/>
        </w:rPr>
        <w:br/>
        <w:t>Digital kompass 2030: den europeiska vägen in i det digitala decenniet</w:t>
      </w:r>
    </w:p>
    <w:p w:rsidRPr="00754BA9" w:rsidR="00646AC2" w:rsidP="00BA65B1" w:rsidRDefault="00563C84">
      <w:pPr>
        <w:jc w:val="center"/>
      </w:pPr>
      <w:r>
        <w:t>[COM(2021) 118 final]</w:t>
      </w:r>
    </w:p>
    <w:p w:rsidRPr="00754BA9" w:rsidR="009B30AA" w:rsidP="0015678B" w:rsidRDefault="009B30AA">
      <w:pPr>
        <w:jc w:val="center"/>
      </w:pPr>
    </w:p>
    <w:p w:rsidRPr="00754BA9" w:rsidR="00704FBB" w:rsidP="0015678B" w:rsidRDefault="007F5E0D">
      <w:pPr>
        <w:jc w:val="center"/>
        <w:rPr>
          <w:b/>
        </w:rPr>
      </w:pPr>
      <w:r>
        <w:t xml:space="preserve">Föredragande: </w:t>
      </w:r>
      <w:r>
        <w:rPr>
          <w:b/>
        </w:rPr>
        <w:t>Gonçalo Lobo Xavier</w:t>
      </w:r>
    </w:p>
    <w:p w:rsidRPr="00754BA9" w:rsidR="00E32DC6" w:rsidP="0015678B" w:rsidRDefault="00E32DC6"/>
    <w:p w:rsidRPr="00754BA9" w:rsidR="00E32DC6" w:rsidP="0015678B" w:rsidRDefault="00E32DC6">
      <w:pPr>
        <w:sectPr w:rsidRPr="00754BA9" w:rsidR="00E32DC6" w:rsidSect="00754BA9">
          <w:footerReference w:type="default" r:id="rId12"/>
          <w:pgSz w:w="11907" w:h="16839" w:code="9"/>
          <w:pgMar w:top="1417" w:right="1417" w:bottom="1417" w:left="1417" w:header="709" w:footer="709" w:gutter="0"/>
          <w:pgNumType w:start="1"/>
          <w:cols w:space="720"/>
          <w:docGrid w:linePitch="299"/>
        </w:sectPr>
      </w:pPr>
    </w:p>
    <w:p w:rsidRPr="00754BA9" w:rsidR="0012220C" w:rsidP="0015678B" w:rsidRDefault="0012220C"/>
    <w:tbl>
      <w:tblPr>
        <w:tblW w:w="0" w:type="auto"/>
        <w:tblLook w:val="04A0" w:firstRow="1" w:lastRow="0" w:firstColumn="1" w:lastColumn="0" w:noHBand="0" w:noVBand="1"/>
      </w:tblPr>
      <w:tblGrid>
        <w:gridCol w:w="3042"/>
        <w:gridCol w:w="6031"/>
      </w:tblGrid>
      <w:tr w:rsidRPr="00754BA9" w:rsidR="0011656A" w:rsidTr="00BA65B1">
        <w:tc>
          <w:tcPr>
            <w:tcW w:w="3055" w:type="dxa"/>
          </w:tcPr>
          <w:p w:rsidRPr="00754BA9" w:rsidR="0011656A" w:rsidP="004A5738" w:rsidRDefault="004A5738">
            <w:pPr>
              <w:jc w:val="left"/>
            </w:pPr>
            <w:r>
              <w:t>Remiss</w:t>
            </w:r>
          </w:p>
        </w:tc>
        <w:tc>
          <w:tcPr>
            <w:tcW w:w="6018" w:type="dxa"/>
          </w:tcPr>
          <w:p w:rsidRPr="00754BA9" w:rsidR="0011656A" w:rsidRDefault="00BA65B1">
            <w:pPr>
              <w:jc w:val="left"/>
            </w:pPr>
            <w:r>
              <w:t>Europeiska kommissionen, 21/04/2021</w:t>
            </w:r>
          </w:p>
        </w:tc>
      </w:tr>
      <w:tr w:rsidRPr="00754BA9" w:rsidR="0016503F" w:rsidTr="00BA65B1">
        <w:trPr>
          <w:trHeight w:val="251"/>
        </w:trPr>
        <w:tc>
          <w:tcPr>
            <w:tcW w:w="3055" w:type="dxa"/>
          </w:tcPr>
          <w:p w:rsidRPr="00754BA9" w:rsidR="0016503F" w:rsidP="0015678B" w:rsidRDefault="0016503F">
            <w:pPr>
              <w:jc w:val="left"/>
            </w:pPr>
            <w:r>
              <w:t>Rättslig grund</w:t>
            </w:r>
          </w:p>
        </w:tc>
        <w:tc>
          <w:tcPr>
            <w:tcW w:w="6018" w:type="dxa"/>
          </w:tcPr>
          <w:p w:rsidRPr="00754BA9" w:rsidR="0016503F" w:rsidRDefault="0016503F">
            <w:pPr>
              <w:jc w:val="left"/>
            </w:pPr>
            <w:r>
              <w:t>Artikel 304 i fördraget om Europeiska unionens funktionssätt.</w:t>
            </w:r>
          </w:p>
        </w:tc>
      </w:tr>
      <w:tr w:rsidRPr="00754BA9" w:rsidR="0016503F" w:rsidTr="007E50BF">
        <w:trPr>
          <w:trHeight w:val="250"/>
        </w:trPr>
        <w:tc>
          <w:tcPr>
            <w:tcW w:w="3085" w:type="dxa"/>
          </w:tcPr>
          <w:p w:rsidRPr="00754BA9" w:rsidR="0016503F" w:rsidP="0015678B" w:rsidRDefault="0016503F">
            <w:pPr>
              <w:jc w:val="left"/>
            </w:pPr>
          </w:p>
        </w:tc>
        <w:tc>
          <w:tcPr>
            <w:tcW w:w="6202" w:type="dxa"/>
          </w:tcPr>
          <w:p w:rsidRPr="00754BA9" w:rsidR="0016503F" w:rsidP="0015678B" w:rsidRDefault="0016503F">
            <w:pPr>
              <w:jc w:val="left"/>
            </w:pPr>
          </w:p>
        </w:tc>
      </w:tr>
      <w:tr w:rsidRPr="00754BA9" w:rsidR="00DF5B64" w:rsidTr="00BA65B1">
        <w:tc>
          <w:tcPr>
            <w:tcW w:w="3055" w:type="dxa"/>
          </w:tcPr>
          <w:p w:rsidRPr="00754BA9" w:rsidR="00DF5B64" w:rsidP="0015678B" w:rsidRDefault="00AD4B4F">
            <w:pPr>
              <w:jc w:val="left"/>
            </w:pPr>
            <w:r>
              <w:t>Ansvarig sektion</w:t>
            </w:r>
          </w:p>
        </w:tc>
        <w:tc>
          <w:tcPr>
            <w:tcW w:w="6018" w:type="dxa"/>
          </w:tcPr>
          <w:p w:rsidRPr="00754BA9" w:rsidR="00DF5B64" w:rsidP="0015678B" w:rsidRDefault="00BA65B1">
            <w:pPr>
              <w:jc w:val="left"/>
            </w:pPr>
            <w:r>
              <w:t>Inre marknaden, produktion och konsumtion</w:t>
            </w:r>
          </w:p>
        </w:tc>
      </w:tr>
      <w:tr w:rsidRPr="00754BA9" w:rsidR="00A156E6" w:rsidTr="00BA65B1">
        <w:tc>
          <w:tcPr>
            <w:tcW w:w="3055" w:type="dxa"/>
          </w:tcPr>
          <w:p w:rsidRPr="00754BA9" w:rsidR="00A156E6" w:rsidP="0015678B" w:rsidRDefault="00A156E6">
            <w:pPr>
              <w:jc w:val="left"/>
            </w:pPr>
            <w:r>
              <w:t>Antagande av sektionen</w:t>
            </w:r>
          </w:p>
        </w:tc>
        <w:tc>
          <w:tcPr>
            <w:tcW w:w="6018" w:type="dxa"/>
          </w:tcPr>
          <w:p w:rsidRPr="00754BA9" w:rsidR="00A156E6" w:rsidRDefault="007D4DB8">
            <w:pPr>
              <w:jc w:val="left"/>
            </w:pPr>
            <w:r>
              <w:t>15/06/2021</w:t>
            </w:r>
          </w:p>
        </w:tc>
      </w:tr>
      <w:tr w:rsidRPr="00754BA9" w:rsidR="00A156E6" w:rsidTr="00BA65B1">
        <w:tc>
          <w:tcPr>
            <w:tcW w:w="3055" w:type="dxa"/>
          </w:tcPr>
          <w:p w:rsidRPr="00754BA9" w:rsidR="00A156E6" w:rsidP="0015678B" w:rsidRDefault="00A156E6">
            <w:pPr>
              <w:jc w:val="left"/>
            </w:pPr>
            <w:r>
              <w:t>Antagande vid plenarsessionen</w:t>
            </w:r>
          </w:p>
        </w:tc>
        <w:tc>
          <w:tcPr>
            <w:tcW w:w="6018" w:type="dxa"/>
          </w:tcPr>
          <w:p w:rsidRPr="00754BA9" w:rsidR="00A156E6" w:rsidRDefault="00FB6A3A">
            <w:pPr>
              <w:jc w:val="left"/>
            </w:pPr>
            <w:r>
              <w:t>07/07/2021</w:t>
            </w:r>
          </w:p>
        </w:tc>
      </w:tr>
      <w:tr w:rsidRPr="00754BA9" w:rsidR="00BA1290" w:rsidTr="00BA65B1">
        <w:tc>
          <w:tcPr>
            <w:tcW w:w="3055" w:type="dxa"/>
          </w:tcPr>
          <w:p w:rsidRPr="00754BA9" w:rsidR="00BA1290" w:rsidP="0015678B" w:rsidRDefault="00BA1290">
            <w:pPr>
              <w:jc w:val="left"/>
            </w:pPr>
            <w:r>
              <w:t>Plenarsession nr</w:t>
            </w:r>
          </w:p>
        </w:tc>
        <w:tc>
          <w:tcPr>
            <w:tcW w:w="6018" w:type="dxa"/>
          </w:tcPr>
          <w:p w:rsidRPr="00754BA9" w:rsidR="00BA1290" w:rsidP="0015678B" w:rsidRDefault="00FB6A3A">
            <w:pPr>
              <w:jc w:val="left"/>
            </w:pPr>
            <w:r>
              <w:t>562</w:t>
            </w:r>
          </w:p>
        </w:tc>
      </w:tr>
      <w:tr w:rsidRPr="00754BA9" w:rsidR="00A156E6" w:rsidTr="00BA65B1">
        <w:tc>
          <w:tcPr>
            <w:tcW w:w="3055" w:type="dxa"/>
          </w:tcPr>
          <w:p w:rsidRPr="00754BA9" w:rsidR="00D423D4" w:rsidP="0015678B" w:rsidRDefault="0043024C">
            <w:pPr>
              <w:jc w:val="left"/>
            </w:pPr>
            <w:r>
              <w:t>Resultat av omröstningen</w:t>
            </w:r>
            <w:r>
              <w:br/>
              <w:t>(för/emot/nedlagda röster)</w:t>
            </w:r>
          </w:p>
        </w:tc>
        <w:tc>
          <w:tcPr>
            <w:tcW w:w="6018" w:type="dxa"/>
            <w:vAlign w:val="bottom"/>
          </w:tcPr>
          <w:p w:rsidRPr="00754BA9" w:rsidR="00A156E6" w:rsidP="0070134D" w:rsidRDefault="00136475">
            <w:pPr>
              <w:jc w:val="left"/>
            </w:pPr>
            <w:r>
              <w:t>20</w:t>
            </w:r>
            <w:r w:rsidR="0070134D">
              <w:t>7</w:t>
            </w:r>
            <w:r>
              <w:t>/0/3</w:t>
            </w:r>
          </w:p>
        </w:tc>
      </w:tr>
    </w:tbl>
    <w:p w:rsidRPr="00754BA9" w:rsidR="0090053A" w:rsidP="0015678B" w:rsidRDefault="0090053A"/>
    <w:p w:rsidRPr="00754BA9" w:rsidR="00646AC2" w:rsidP="0015678B" w:rsidRDefault="00646AC2">
      <w:r>
        <w:br w:type="page"/>
      </w:r>
    </w:p>
    <w:p w:rsidRPr="00754BA9" w:rsidR="00011D33" w:rsidP="0015678B" w:rsidRDefault="00011D33">
      <w:pPr>
        <w:pStyle w:val="Heading1"/>
        <w:keepNext/>
        <w:rPr>
          <w:b/>
        </w:rPr>
      </w:pPr>
      <w:r>
        <w:rPr>
          <w:b/>
        </w:rPr>
        <w:lastRenderedPageBreak/>
        <w:t>Slutsatser och rekommendationer</w:t>
      </w:r>
    </w:p>
    <w:p w:rsidRPr="00754BA9" w:rsidR="00011D33" w:rsidP="0015678B" w:rsidRDefault="00011D33">
      <w:pPr>
        <w:keepNext/>
      </w:pPr>
    </w:p>
    <w:p w:rsidRPr="00754BA9" w:rsidR="002D4F1D" w:rsidP="00897757" w:rsidRDefault="002D4F1D">
      <w:pPr>
        <w:pStyle w:val="Heading2"/>
        <w:ind w:left="567" w:hanging="567"/>
      </w:pPr>
      <w:r>
        <w:t>Kommissionens plan för den digitala kompassen 2030 läggs fram vid en avgörande tidpunkt för unionen och hela världen. EESK välkomnar initiativet och målet att använda digital teknik för att förbättra medborgarnas liv, skapa fler arbetstillfällen, underlätta framsteg och stärka den europeiska konkurrenskraften. Pandemin har belyst den digitala utvecklingens betydelse och möjligheter, lyft fram behovet av anpassningar och förändrat vårt sätt att umgås och arbeta. EU måste ta itu med dessa utmaningar på ett korrekt sätt. Att ha en strategi, en plan med specifika mål och ett sätt att mäta framstegen är avgörande för att omsätta avsikter i resultat.</w:t>
      </w:r>
    </w:p>
    <w:p w:rsidRPr="00754BA9" w:rsidR="00687720" w:rsidP="00897757" w:rsidRDefault="00687720">
      <w:pPr>
        <w:ind w:left="567" w:hanging="567"/>
      </w:pPr>
    </w:p>
    <w:p w:rsidRPr="00754BA9" w:rsidR="00687720" w:rsidP="00897757" w:rsidRDefault="00687720">
      <w:pPr>
        <w:pStyle w:val="Heading2"/>
        <w:ind w:left="567" w:hanging="567"/>
      </w:pPr>
      <w:r>
        <w:t>EESK anser att digital innovation alltid måste skydda de grundläggande rättigheterna och garantera allas hälsa, säkerhet och integritet (skydd av personuppgifter). Det är mycket viktigt att medborgarna anser att utvecklingen och tillväxten har en positiv inverkan på deras livskvalitet. Effekterna av ny teknik som stöder vårt dagliga liv måste vara positiva och rättvist fördelade för att verkligen gynna samhället, och rätten till hälsa måste alltid ges företräde och erkännas i</w:t>
      </w:r>
      <w:r w:rsidR="0070134D">
        <w:t> </w:t>
      </w:r>
      <w:r>
        <w:t>förteckningen över det digitala medborgarskapets grundläggande rättigheter.</w:t>
      </w:r>
    </w:p>
    <w:p w:rsidRPr="00754BA9" w:rsidR="00687720" w:rsidP="00897757" w:rsidRDefault="00687720">
      <w:pPr>
        <w:ind w:left="567" w:hanging="567"/>
      </w:pPr>
    </w:p>
    <w:p w:rsidRPr="00754BA9" w:rsidR="00687720" w:rsidP="00897757" w:rsidRDefault="00687720">
      <w:pPr>
        <w:pStyle w:val="Heading2"/>
        <w:ind w:left="567" w:hanging="567"/>
      </w:pPr>
      <w:r>
        <w:t>EESK framhåller behovet av att återupprätta allmänhetens förtroende och förbättra cyber</w:t>
      </w:r>
      <w:r w:rsidR="00B22B7A">
        <w:softHyphen/>
      </w:r>
      <w:r>
        <w:t xml:space="preserve">säkerheten och </w:t>
      </w:r>
      <w:proofErr w:type="spellStart"/>
      <w:r>
        <w:t>cyberresiliensen</w:t>
      </w:r>
      <w:proofErr w:type="spellEnd"/>
      <w:r>
        <w:t xml:space="preserve"> med ”inbyggd säkerhet” längs hela den digitala värdekedjan, ge</w:t>
      </w:r>
      <w:r w:rsidR="0070134D">
        <w:t> </w:t>
      </w:r>
      <w:r>
        <w:t>människor bättre valmöjligheter och kontroll över sina data (”dataetik”) och fastställa mellanhändernas ansvar för att bekämpa olagligt och skadligt innehåll.</w:t>
      </w:r>
    </w:p>
    <w:p w:rsidRPr="00754BA9" w:rsidR="00687720" w:rsidP="00897757" w:rsidRDefault="00687720">
      <w:pPr>
        <w:ind w:left="567" w:hanging="567"/>
      </w:pPr>
    </w:p>
    <w:p w:rsidRPr="00754BA9" w:rsidR="00897757" w:rsidP="00897757" w:rsidRDefault="00897757">
      <w:pPr>
        <w:pStyle w:val="Heading2"/>
        <w:ind w:left="567" w:hanging="567"/>
      </w:pPr>
      <w:r>
        <w:t>Att alla viktiga europeiska och nationella offentliga tjänster ska vara tillgängliga online är ett berättigat mål. EESK varnar dock för att ingen får hamna på efterkälken och att det är viktigt att stödja dem som inte omedelbart kan dra nytta av digitaliseringsprocessen. Det finns fortfarande en betydande grupp medborgare som saknar de kunskaper och färdigheter och till och med den maskin- och programvara som krävs för att kunna dra nytta av dessa resurser. EESK uppmanar kommissionen att stödja dem som befinner sig i en övergångsprocess.</w:t>
      </w:r>
    </w:p>
    <w:p w:rsidRPr="00754BA9" w:rsidR="00085704" w:rsidP="00897757" w:rsidRDefault="00085704">
      <w:pPr>
        <w:ind w:left="567" w:hanging="567"/>
      </w:pPr>
    </w:p>
    <w:p w:rsidRPr="00754BA9" w:rsidR="002D4F1D" w:rsidP="00897757" w:rsidRDefault="002D4F1D">
      <w:pPr>
        <w:pStyle w:val="Heading2"/>
        <w:ind w:left="567" w:hanging="567"/>
      </w:pPr>
      <w:r>
        <w:t>EESK framhåller den enorma risk för inlärningsnackdelar som kan bli följden av obalanserade investeringar. Från barn till äldre måste den digitala fattigdomens effekter hållas i åtanke, och det är därför en prioritering att noga uppmärksamma de verkliga riskerna. Investeringar i infrastruktur måste göras samtidigt som investeringar i utbildning för att minska klyftorna.</w:t>
      </w:r>
    </w:p>
    <w:p w:rsidRPr="00754BA9" w:rsidR="00FD5FF3" w:rsidP="00897757" w:rsidRDefault="00FD5FF3">
      <w:pPr>
        <w:ind w:left="567" w:hanging="567"/>
      </w:pPr>
    </w:p>
    <w:p w:rsidRPr="00754BA9" w:rsidR="00FD5FF3" w:rsidP="00897757" w:rsidRDefault="0037336E">
      <w:pPr>
        <w:pStyle w:val="Heading2"/>
        <w:ind w:left="567" w:hanging="567"/>
      </w:pPr>
      <w:r>
        <w:t>EESK betonar behovet av att hjälpa människor att fortbilda och omskola sig. Detta bör göras genom att skapa lika möjligheter genom att man stärker offentlig-privata partnerskap för kompetenshöjning och omskolning (både den nuvarande arbetskraften och vuxenstuderande) och främjar inställningen att lärandet är en livslång process för alla.</w:t>
      </w:r>
    </w:p>
    <w:p w:rsidRPr="00754BA9" w:rsidR="00687720" w:rsidP="00897757" w:rsidRDefault="00687720">
      <w:pPr>
        <w:ind w:left="567" w:hanging="567"/>
      </w:pPr>
    </w:p>
    <w:p w:rsidRPr="00754BA9" w:rsidR="00FD5FF3" w:rsidP="00897757" w:rsidRDefault="0037336E">
      <w:pPr>
        <w:pStyle w:val="Heading2"/>
        <w:ind w:left="567" w:hanging="567"/>
      </w:pPr>
      <w:r>
        <w:t>EESK anser att utbildningen måste moderniseras för ett digitalt samhälle. Det är mycket viktigt att driva på digitaliseringen av utbildningssystemen genom att uppdatera utbildningsinnehållet till den digitala tidsåldern och skapa offentlig-privata ekosystem för att genomföra nya utbildnings</w:t>
      </w:r>
      <w:r w:rsidR="0070134D">
        <w:softHyphen/>
      </w:r>
      <w:r>
        <w:t>metoder som är öppna och tillgängliga för att ge alla samma möjligheter.</w:t>
      </w:r>
    </w:p>
    <w:p w:rsidRPr="00754BA9" w:rsidR="009F0EFA" w:rsidP="009F0EFA" w:rsidRDefault="009F0EFA"/>
    <w:p w:rsidRPr="00754BA9" w:rsidR="009F0EFA" w:rsidP="009F0EFA" w:rsidRDefault="009F0EFA">
      <w:pPr>
        <w:pStyle w:val="Heading2"/>
        <w:ind w:left="567" w:hanging="567"/>
      </w:pPr>
      <w:r>
        <w:lastRenderedPageBreak/>
        <w:t>Den digitala utvecklingen omfattar risker såsom bedrägeri, integritetsintrång och bristande insyn, vilket skulle kunna undergräva de mål som fastställs i dokumentet. EESK anser att man måste skapa förutsättningar för att förebygga sådana risker och reglera ansvaret på EU-nivå.</w:t>
      </w:r>
    </w:p>
    <w:p w:rsidRPr="00754BA9" w:rsidR="009F0EFA" w:rsidP="009F0EFA" w:rsidRDefault="009F0EFA"/>
    <w:p w:rsidRPr="00754BA9" w:rsidR="001524B0" w:rsidP="00897757" w:rsidRDefault="001524B0">
      <w:pPr>
        <w:pStyle w:val="Heading2"/>
        <w:ind w:left="567" w:hanging="567"/>
      </w:pPr>
      <w:r>
        <w:t>EESK betonar behovet av att överväga strategier för att hantera eventuella förflyttningar av arbetstillfällen till följd av teknisk förflyttning. Såsom anges i tidigare yttranden erkänns det att AI och robotteknik kommer att leda till att arbetstillfällen flyttas och förändras, att vissa försvinner och att andra tillkommer. Under alla omständigheter måste EU se till att alla arbetstagare, oavsett om de är anställda, egenföretagare eller falska egenföretagare, har tillgång till socialt skydd, i linje med Europas uppsättning sociala rättigheter. Den sociala dialogen om dessa frågor på alla nivåer måste främjas, och att anpassa skyldigheter och rättigheter till den nuvarande digitala och plattformsdrivna ekonomin måste prioriteras.</w:t>
      </w:r>
    </w:p>
    <w:p w:rsidRPr="00754BA9" w:rsidR="001524B0" w:rsidP="00897757" w:rsidRDefault="001524B0">
      <w:pPr>
        <w:ind w:left="567" w:hanging="567"/>
      </w:pPr>
    </w:p>
    <w:p w:rsidRPr="00754BA9" w:rsidR="001524B0" w:rsidP="00897757" w:rsidRDefault="00CD0340">
      <w:pPr>
        <w:pStyle w:val="Heading2"/>
        <w:ind w:left="567" w:hanging="567"/>
      </w:pPr>
      <w:r>
        <w:t xml:space="preserve">För att man ska kunna hantera den digitala omställningen på ett inkluderande och socialt ansvarsfullt sätt och för att man ska kunna hantera förlusten av arbetstillfällen, särskilt under perioden efter </w:t>
      </w:r>
      <w:proofErr w:type="spellStart"/>
      <w:r>
        <w:t>covid</w:t>
      </w:r>
      <w:proofErr w:type="spellEnd"/>
      <w:r>
        <w:t>, anser EESK att en prioritering måste vara en europeisk fond, som främst stöds genom beskattning av de största teknikföretagen, och som syftar till att stödja de arbetstagare som förlorar sin anställning eller sitt företag på grund av digitaliseringen av ekonomin, genom lämplig utbildning, kompetenshöjning och omskolning.</w:t>
      </w:r>
    </w:p>
    <w:p w:rsidRPr="00754BA9" w:rsidR="00687720" w:rsidP="00897757" w:rsidRDefault="00687720">
      <w:pPr>
        <w:ind w:left="567" w:hanging="567"/>
      </w:pPr>
    </w:p>
    <w:p w:rsidRPr="0070134D" w:rsidR="003A292F" w:rsidP="00897757" w:rsidRDefault="00A31448">
      <w:pPr>
        <w:pStyle w:val="Heading2"/>
        <w:ind w:left="567" w:hanging="567"/>
        <w:rPr>
          <w:spacing w:val="-2"/>
        </w:rPr>
      </w:pPr>
      <w:r w:rsidRPr="0070134D">
        <w:rPr>
          <w:spacing w:val="-2"/>
        </w:rPr>
        <w:t xml:space="preserve">EESK efterlyser också en samordnad politik som på ett ändamålsenligt sätt tar itu med Europas utgångspunkt och motsvarar såväl de tekniska som de samhälleliga omvandlingar som vi har sett de senaste åren och som har påskyndats pga. pandemin: en industristrategi – som omfattar </w:t>
      </w:r>
      <w:proofErr w:type="spellStart"/>
      <w:r w:rsidRPr="0070134D">
        <w:rPr>
          <w:spacing w:val="-2"/>
        </w:rPr>
        <w:t>konkurrens</w:t>
      </w:r>
      <w:r w:rsidR="0070134D">
        <w:rPr>
          <w:spacing w:val="-2"/>
        </w:rPr>
        <w:softHyphen/>
      </w:r>
      <w:r w:rsidRPr="0070134D">
        <w:rPr>
          <w:spacing w:val="-2"/>
        </w:rPr>
        <w:t>politik</w:t>
      </w:r>
      <w:proofErr w:type="spellEnd"/>
      <w:r w:rsidRPr="0070134D">
        <w:rPr>
          <w:spacing w:val="-2"/>
        </w:rPr>
        <w:t xml:space="preserve"> och sektorsspecifik reglering, särskilt för säker </w:t>
      </w:r>
      <w:proofErr w:type="spellStart"/>
      <w:r w:rsidRPr="0070134D">
        <w:rPr>
          <w:spacing w:val="-2"/>
        </w:rPr>
        <w:t>konnektivitet</w:t>
      </w:r>
      <w:proofErr w:type="spellEnd"/>
      <w:r w:rsidRPr="0070134D">
        <w:rPr>
          <w:spacing w:val="-2"/>
        </w:rPr>
        <w:t xml:space="preserve"> – är av yttersta vikt.</w:t>
      </w:r>
    </w:p>
    <w:p w:rsidRPr="00754BA9" w:rsidR="00011D33" w:rsidP="0015678B" w:rsidRDefault="00011D33"/>
    <w:p w:rsidRPr="00754BA9" w:rsidR="00011D33" w:rsidP="0015678B" w:rsidRDefault="00011D33">
      <w:pPr>
        <w:pStyle w:val="Heading1"/>
        <w:keepNext/>
        <w:rPr>
          <w:b/>
        </w:rPr>
      </w:pPr>
      <w:r>
        <w:rPr>
          <w:b/>
        </w:rPr>
        <w:t>Allmänna kommentarer</w:t>
      </w:r>
    </w:p>
    <w:p w:rsidRPr="00754BA9" w:rsidR="00011D33" w:rsidP="0015678B" w:rsidRDefault="00011D33">
      <w:pPr>
        <w:keepNext/>
      </w:pPr>
    </w:p>
    <w:p w:rsidRPr="00754BA9" w:rsidR="00465906" w:rsidP="00897757" w:rsidRDefault="00465906">
      <w:pPr>
        <w:pStyle w:val="Heading2"/>
        <w:ind w:left="567" w:hanging="567"/>
      </w:pPr>
      <w:r>
        <w:t>EESK stöder kommissionens plan ”Digital kompass 2030: den europeiska vägen in i det digitala decenniet” som ett led i en bredare handlingsplan för att främja Europas ekonomi och sociala återhämtning.</w:t>
      </w:r>
    </w:p>
    <w:p w:rsidRPr="00754BA9" w:rsidR="00465906" w:rsidP="00897757" w:rsidRDefault="00465906">
      <w:pPr>
        <w:pStyle w:val="Heading2"/>
        <w:numPr>
          <w:ilvl w:val="0"/>
          <w:numId w:val="0"/>
        </w:numPr>
        <w:ind w:left="567" w:hanging="567"/>
      </w:pPr>
    </w:p>
    <w:p w:rsidRPr="00754BA9" w:rsidR="00465906" w:rsidP="00897757" w:rsidRDefault="00465906">
      <w:pPr>
        <w:pStyle w:val="Heading2"/>
        <w:ind w:left="567" w:hanging="567"/>
      </w:pPr>
      <w:r>
        <w:t xml:space="preserve">Covid-19-krisen har visat på ett stort externt beroende av teknik och </w:t>
      </w:r>
      <w:proofErr w:type="spellStart"/>
      <w:r>
        <w:t>dataprocesser</w:t>
      </w:r>
      <w:proofErr w:type="spellEnd"/>
      <w:r>
        <w:t>, vilket måste hanteras effektivt och snabbt. Europas tillgångar på dessa områden måste utnyttjas bättre och EU-medborgarna göras mer delaktiga.</w:t>
      </w:r>
    </w:p>
    <w:p w:rsidRPr="00754BA9" w:rsidR="00465906" w:rsidP="00897757" w:rsidRDefault="00465906">
      <w:pPr>
        <w:pStyle w:val="Heading2"/>
        <w:numPr>
          <w:ilvl w:val="0"/>
          <w:numId w:val="0"/>
        </w:numPr>
        <w:ind w:left="567" w:hanging="567"/>
      </w:pPr>
    </w:p>
    <w:p w:rsidRPr="00754BA9" w:rsidR="002D4F1D" w:rsidP="00897757" w:rsidRDefault="002D4F1D">
      <w:pPr>
        <w:pStyle w:val="Heading2"/>
        <w:ind w:left="567" w:hanging="567"/>
      </w:pPr>
      <w:r>
        <w:t>EESK betonar att ingen medborgare får hamna på efterkälken. Den digitala analfabetismen är fortfarande stor i Europa – 35 % enligt kommissionen – och bristen på tillgång till digitala resurser måste mildras. Tillgång till mänsklig närvaro i ekonomiska och administrativa förbindelser måste dock garanteras. Det är också viktigt att se till att digitaliseringens fördelar inte bara kommer ett fåtal till godo. Det digitala decenniet måste vara till nytta för alla.</w:t>
      </w:r>
    </w:p>
    <w:p w:rsidRPr="00754BA9" w:rsidR="00465906" w:rsidP="00897757" w:rsidRDefault="00465906">
      <w:pPr>
        <w:pStyle w:val="Heading2"/>
        <w:numPr>
          <w:ilvl w:val="0"/>
          <w:numId w:val="0"/>
        </w:numPr>
        <w:ind w:left="567" w:hanging="567"/>
      </w:pPr>
    </w:p>
    <w:p w:rsidRPr="00754BA9" w:rsidR="00465906" w:rsidP="00897757" w:rsidRDefault="00465906">
      <w:pPr>
        <w:pStyle w:val="Heading2"/>
        <w:ind w:left="567" w:hanging="567"/>
      </w:pPr>
      <w:r>
        <w:t>Europeiska företag, särskilt små och medelstora företag, måste stödjas i sina digitaliserings</w:t>
      </w:r>
      <w:r w:rsidR="00B22B7A">
        <w:softHyphen/>
      </w:r>
      <w:r>
        <w:t>insatser och ges möjlighet att konkurrera på global nivå. Om EU äger eller finansierar dator</w:t>
      </w:r>
      <w:r w:rsidR="00B22B7A">
        <w:softHyphen/>
      </w:r>
      <w:r>
        <w:t>resurser, såsom datorer med kvantacceleration, måste tillgången till dem fördelas rättvist på grundval av objektiva kriterier.</w:t>
      </w:r>
    </w:p>
    <w:p w:rsidRPr="00754BA9" w:rsidR="00465906" w:rsidP="00897757" w:rsidRDefault="00465906">
      <w:pPr>
        <w:ind w:left="567" w:hanging="567"/>
      </w:pPr>
    </w:p>
    <w:p w:rsidRPr="00754BA9" w:rsidR="002D4F1D" w:rsidP="00897757" w:rsidRDefault="002D4F1D">
      <w:pPr>
        <w:pStyle w:val="Heading2"/>
        <w:ind w:left="567" w:hanging="567"/>
      </w:pPr>
      <w:r>
        <w:lastRenderedPageBreak/>
        <w:t>Ambitioner och offentliga medel kommer dock inte i sig att ge de resultat som vi eftersträvar. Vi</w:t>
      </w:r>
      <w:r w:rsidR="0070134D">
        <w:t> </w:t>
      </w:r>
      <w:r>
        <w:t xml:space="preserve">behöver också en samordnad politik som på ett ändamålsenligt sätt tar itu med Europas </w:t>
      </w:r>
      <w:r w:rsidRPr="0070134D">
        <w:rPr>
          <w:spacing w:val="-2"/>
        </w:rPr>
        <w:t xml:space="preserve">utgångspunkt och motsvarar såväl de tekniska som de samhälleliga omvandlingar som vi har sett de senaste åren och som har påskyndats pga. pandemin: en industristrategi – som omfattar </w:t>
      </w:r>
      <w:proofErr w:type="spellStart"/>
      <w:r w:rsidRPr="0070134D">
        <w:rPr>
          <w:spacing w:val="-2"/>
        </w:rPr>
        <w:t>konkurrens</w:t>
      </w:r>
      <w:r w:rsidR="0070134D">
        <w:rPr>
          <w:spacing w:val="-2"/>
        </w:rPr>
        <w:softHyphen/>
      </w:r>
      <w:r w:rsidRPr="0070134D">
        <w:rPr>
          <w:spacing w:val="-2"/>
        </w:rPr>
        <w:t>politik</w:t>
      </w:r>
      <w:proofErr w:type="spellEnd"/>
      <w:r w:rsidRPr="0070134D">
        <w:rPr>
          <w:spacing w:val="-2"/>
        </w:rPr>
        <w:t xml:space="preserve"> och sektorsspecifik reglering, särskilt för säker </w:t>
      </w:r>
      <w:proofErr w:type="spellStart"/>
      <w:r w:rsidRPr="0070134D">
        <w:rPr>
          <w:spacing w:val="-2"/>
        </w:rPr>
        <w:t>konnektivitet</w:t>
      </w:r>
      <w:proofErr w:type="spellEnd"/>
      <w:r w:rsidRPr="0070134D">
        <w:rPr>
          <w:spacing w:val="-2"/>
        </w:rPr>
        <w:t xml:space="preserve"> – är av yttersta vikt.</w:t>
      </w:r>
    </w:p>
    <w:p w:rsidRPr="00754BA9" w:rsidR="002D4F1D" w:rsidP="00897757" w:rsidRDefault="002D4F1D">
      <w:pPr>
        <w:ind w:left="567" w:hanging="567"/>
      </w:pPr>
    </w:p>
    <w:p w:rsidRPr="00754BA9" w:rsidR="00465906" w:rsidP="00897757" w:rsidRDefault="00465906">
      <w:pPr>
        <w:pStyle w:val="Heading2"/>
        <w:ind w:left="567" w:hanging="567"/>
      </w:pPr>
      <w:r>
        <w:t>EESK välkomnar visionen om att utveckla ett digitalt utbildnings- och innovationsekosystem och framhåller behovet av att utnyttja de främsta europeiska vetenskapliga och akademiska institutionerna för att uppnå detta mål.</w:t>
      </w:r>
    </w:p>
    <w:p w:rsidRPr="00754BA9" w:rsidR="00687720" w:rsidP="00897757" w:rsidRDefault="00687720">
      <w:pPr>
        <w:ind w:left="567" w:hanging="567"/>
      </w:pPr>
    </w:p>
    <w:p w:rsidRPr="00754BA9" w:rsidR="002D4F1D" w:rsidP="00897757" w:rsidRDefault="002D4F1D">
      <w:pPr>
        <w:pStyle w:val="Heading2"/>
        <w:ind w:left="567" w:hanging="567"/>
      </w:pPr>
      <w:r>
        <w:t>Det finns ett behov av att stärka det befintliga offentliga och privata samarbetet och skapa fler synergier för att säkra en ny digital giv som bygger på en styrningsmodell som kombinerar sociala, miljömässiga och ekonomiska aspekter i syfte att uppnå en långsiktigt hållbar, rättvis och inkluderande digital omställning.</w:t>
      </w:r>
    </w:p>
    <w:p w:rsidRPr="00754BA9" w:rsidR="002D4F1D" w:rsidP="00687720" w:rsidRDefault="002D4F1D"/>
    <w:p w:rsidRPr="00754BA9" w:rsidR="003A7034" w:rsidP="00687720" w:rsidRDefault="002D4F1D">
      <w:pPr>
        <w:pStyle w:val="Heading2"/>
        <w:ind w:left="567" w:hanging="567"/>
      </w:pPr>
      <w:r>
        <w:t>EESK betonar behovet av att överväga strategier för att hantera eventuella förflyttningar av arbetstillfällen till följd av teknisk förflyttning. Såsom anges i tidigare yttranden</w:t>
      </w:r>
      <w:r w:rsidRPr="00754BA9">
        <w:rPr>
          <w:rStyle w:val="FootnoteReference"/>
        </w:rPr>
        <w:footnoteReference w:id="1"/>
      </w:r>
      <w:r>
        <w:t xml:space="preserve"> erkänns det att AI och robotteknik kommer att leda till att arbetstillfällen flyttas och förändras, att vissa försvinner och att andra tillkommer. Under alla omständigheter måste EU se till att alla arbetstagare, oavsett om de är anställda, egenföretagare eller falska egenföretagare, har tillgång till socialt skydd, i linje med Europas uppsättning sociala rättigheter. Den sociala dialogen om dessa frågor på alla nivåer måste främjas. Åtgärder för att stödja människor vars arbete förflyttats bör antas och samordnas, eventuellt finansierade genom en EU-skatt på de företag som tjänar mest i den digitala ekonomin. </w:t>
      </w:r>
    </w:p>
    <w:p w:rsidRPr="00754BA9" w:rsidR="003A7034" w:rsidP="003A7034" w:rsidRDefault="003A7034"/>
    <w:p w:rsidRPr="00754BA9" w:rsidR="0014073E" w:rsidP="00687720" w:rsidRDefault="002D4F1D">
      <w:pPr>
        <w:pStyle w:val="Heading2"/>
        <w:ind w:left="567" w:hanging="567"/>
      </w:pPr>
      <w:r>
        <w:t>Man får inte bortse från den roll som riskkapital, aktiemarkna</w:t>
      </w:r>
      <w:r w:rsidR="00B22B7A">
        <w:t>der och privata investeringar i </w:t>
      </w:r>
      <w:r>
        <w:t>allmänhet spelar. Den tekniska utvecklingen i Europa kommer att drivas av privata företag, och EU kommer bara att kunna konkurrera på global nivå om unionen förblir en välkomnande plats för dessa investeringar. Allt detta måste ske med vederbörlig hänsyn till sociala normer.</w:t>
      </w:r>
    </w:p>
    <w:p w:rsidRPr="00754BA9" w:rsidR="00465906" w:rsidP="008B6787" w:rsidRDefault="00465906">
      <w:pPr>
        <w:pStyle w:val="Heading2"/>
        <w:numPr>
          <w:ilvl w:val="0"/>
          <w:numId w:val="0"/>
        </w:numPr>
        <w:ind w:left="567" w:hanging="567"/>
      </w:pPr>
    </w:p>
    <w:p w:rsidRPr="00754BA9" w:rsidR="002D4F1D" w:rsidP="00897757" w:rsidRDefault="002D4F1D">
      <w:pPr>
        <w:pStyle w:val="Heading2"/>
        <w:ind w:left="567" w:hanging="567"/>
      </w:pPr>
      <w:r>
        <w:t xml:space="preserve">Ambitiösa </w:t>
      </w:r>
      <w:proofErr w:type="spellStart"/>
      <w:r>
        <w:t>konnektivitetsmål</w:t>
      </w:r>
      <w:proofErr w:type="spellEnd"/>
      <w:r>
        <w:t xml:space="preserve"> bör gå hand i hand med ett åtagande om ett gynnsammare regelverk som stöder privata investeringar i nätinfrastruktur. Det kommer att vara av avgörande betydelse att anpassa EU:s industristrategi och visionen om europeiskt ledarskap inom digital </w:t>
      </w:r>
      <w:proofErr w:type="spellStart"/>
      <w:r>
        <w:t>konnektivitet</w:t>
      </w:r>
      <w:proofErr w:type="spellEnd"/>
      <w:r>
        <w:t xml:space="preserve"> till konkurrenspolitiken och regleringspraxis för telekomsektorn.</w:t>
      </w:r>
    </w:p>
    <w:p w:rsidRPr="00754BA9" w:rsidR="00465906" w:rsidP="00897757" w:rsidRDefault="00465906">
      <w:pPr>
        <w:ind w:left="567" w:hanging="567"/>
      </w:pPr>
    </w:p>
    <w:p w:rsidRPr="00754BA9" w:rsidR="00C1215E" w:rsidP="00897757" w:rsidRDefault="00C1215E">
      <w:pPr>
        <w:pStyle w:val="Heading2"/>
        <w:ind w:left="567" w:hanging="567"/>
      </w:pPr>
      <w:r>
        <w:t xml:space="preserve">I färdplanen för det digitala decenniet fastställs planer för att utveckla en europeisk ”egen molninfrastruktur och molnkapacitet” i syfte att förhindra att data som produceras i Europa flyttas utomlands, såsom för närvarande är fallet med mer än 90 % av europeiska data. EU får inte vara naivt och måste fortsätta sin kamp för att bli mer oberoende och hålla sina medborgares data, särskilt känsliga data, inom sina gränser. I detta avseende är målet i planen för det digitala decenniet att ha 10 000 mycket säkra, klimatneutrala </w:t>
      </w:r>
      <w:proofErr w:type="spellStart"/>
      <w:r>
        <w:t>kantdator</w:t>
      </w:r>
      <w:proofErr w:type="spellEnd"/>
      <w:r>
        <w:t xml:space="preserve">- och molnnoder ett steg i rätt riktning. Gaia X-projektet måste påskyndas och snabbt tas i drift. </w:t>
      </w:r>
    </w:p>
    <w:p w:rsidRPr="00754BA9" w:rsidR="00465906" w:rsidP="00897757" w:rsidRDefault="00465906">
      <w:pPr>
        <w:pStyle w:val="Heading2"/>
        <w:numPr>
          <w:ilvl w:val="0"/>
          <w:numId w:val="0"/>
        </w:numPr>
        <w:ind w:left="567" w:hanging="567"/>
      </w:pPr>
    </w:p>
    <w:p w:rsidRPr="00754BA9" w:rsidR="00465906" w:rsidP="00897757" w:rsidRDefault="00465906">
      <w:pPr>
        <w:pStyle w:val="Heading2"/>
        <w:ind w:left="567" w:hanging="567"/>
      </w:pPr>
      <w:r>
        <w:lastRenderedPageBreak/>
        <w:t>EESK stöder tanken på att främja en europeisk tekniksektor för att minska beroendet av amerikanska och kinesiska teknikjättar och komma ikapp på områden såsom 5G-utbyggnad, chippillverkning och datahantering, men varnar för strategin med en protektionistisk dataekonomi i Europa. Internationella partnerskap och samarbete bör främjas.</w:t>
      </w:r>
    </w:p>
    <w:p w:rsidRPr="00754BA9" w:rsidR="00465906" w:rsidP="00897757" w:rsidRDefault="00465906">
      <w:pPr>
        <w:pStyle w:val="Heading2"/>
        <w:numPr>
          <w:ilvl w:val="0"/>
          <w:numId w:val="0"/>
        </w:numPr>
        <w:ind w:left="567" w:hanging="567"/>
      </w:pPr>
    </w:p>
    <w:p w:rsidRPr="00754BA9" w:rsidR="00C1215E" w:rsidP="00897757" w:rsidRDefault="002D4F1D">
      <w:pPr>
        <w:pStyle w:val="Heading2"/>
        <w:ind w:left="567" w:hanging="567"/>
      </w:pPr>
      <w:r>
        <w:t>För att uppnå dessa mål kommer 20 miljoner teknikexperter att behöva vara anställda inom de berörda arbetsområdena senast 2030, jämfört med dagens 7,8 miljoner. År 2019 vara bara 18 % av de 7,8 miljoner IKT-arbetstagarna kvinnor. Mångfald inom de digitala sektorerna är avgörande och kommer att bidra till att forma synen på världen och dess utmaningar, särskilt genom att minska risken för partiskhet. Målet om att uppnå en jämnare könsfördelning måste övervakas noga och kvinnors tillgång till vetenskap, teknik, ingenjörsvetenskap och matematik (STEM) uppmuntras. Den sociala dialogen bör främjas på alla nivåer (företagsnivå, branschnivå och nationell nivå) eftersom den kan bidra till detta mål. Kra</w:t>
      </w:r>
      <w:r w:rsidR="00B22B7A">
        <w:t>ftfulla kampanjer bör främjas i </w:t>
      </w:r>
      <w:r>
        <w:t>medlemsstaterna, med början i grundskolan, för att uppmuntra unga flickor att välja vetenskapliga och tekniska ämnen. Den digitala klyftan är en stor utmaning. I många landsbygdsområden finns det ännu inte ens 3G. EU och medlemsstaterna bör tillhandahålla incitament för att uppmuntra investeringar i landsbygdsområden för att se till att ingen medborgare hamnar på efterkälken.</w:t>
      </w:r>
    </w:p>
    <w:p w:rsidRPr="00754BA9" w:rsidR="00465906" w:rsidP="00897757" w:rsidRDefault="00465906">
      <w:pPr>
        <w:pStyle w:val="Heading2"/>
        <w:numPr>
          <w:ilvl w:val="0"/>
          <w:numId w:val="0"/>
        </w:numPr>
        <w:ind w:left="567" w:hanging="567"/>
      </w:pPr>
    </w:p>
    <w:p w:rsidRPr="00754BA9" w:rsidR="00C1215E" w:rsidP="00897757" w:rsidRDefault="00C1215E">
      <w:pPr>
        <w:pStyle w:val="Heading2"/>
        <w:ind w:left="567" w:hanging="567"/>
      </w:pPr>
      <w:r>
        <w:t>Dessa investeringar skulle kunna främja territoriell sammanhållning och regional utveckling och ge människorna möjlighet att, om de så önskar, leva mer tillfredsställande liv utanför storstäderna (de ”smarta byar” som nämns i meddelandet). Distansarbetet måste utvecklas genom social dialog och kollektiva förhandlingar på alla nivåer för att skydda arbetstagarnas hälsa och välbefinnande.</w:t>
      </w:r>
    </w:p>
    <w:p w:rsidRPr="00754BA9" w:rsidR="00011D33" w:rsidP="00897757" w:rsidRDefault="00011D33">
      <w:pPr>
        <w:ind w:left="567" w:hanging="567"/>
      </w:pPr>
    </w:p>
    <w:p w:rsidRPr="00754BA9" w:rsidR="00465906" w:rsidP="00897757" w:rsidRDefault="00465906">
      <w:pPr>
        <w:pStyle w:val="Heading2"/>
        <w:ind w:left="567" w:hanging="567"/>
      </w:pPr>
      <w:r>
        <w:t>EESK uppmuntrar kommissionen att skapa incitament för att människor ska flytta bort från storstadsområdena och därigenom främja landsbygdens ekonomiska och sociala utveckling. Detta kan bara göras om lämplig infrastruktur, särskilt inom telekommunikation och transport, inrättas.</w:t>
      </w:r>
    </w:p>
    <w:p w:rsidRPr="00754BA9" w:rsidR="00465906" w:rsidP="00897757" w:rsidRDefault="00465906">
      <w:pPr>
        <w:pStyle w:val="Heading2"/>
        <w:numPr>
          <w:ilvl w:val="0"/>
          <w:numId w:val="0"/>
        </w:numPr>
        <w:ind w:left="567" w:hanging="567"/>
      </w:pPr>
    </w:p>
    <w:p w:rsidRPr="00754BA9" w:rsidR="002D4F1D" w:rsidP="00897757" w:rsidRDefault="002D4F1D">
      <w:pPr>
        <w:pStyle w:val="Heading2"/>
        <w:ind w:left="567" w:hanging="567"/>
      </w:pPr>
      <w:r>
        <w:t>Det finns stora miljöutmaningar att ta itu med under det kommande decenniet, och även miljöaspekten bör beaktas i alla åtgärder som vidtas i detta sammanhang. Dessutom bör den digitala kompassen användas som ytterligare ett verktyg för att bidra till att uppnå målen i den europeiska gröna given och minska miljöpåverkan.</w:t>
      </w:r>
    </w:p>
    <w:p w:rsidRPr="00754BA9" w:rsidR="00465906" w:rsidP="00897757" w:rsidRDefault="00465906">
      <w:pPr>
        <w:pStyle w:val="Heading2"/>
        <w:numPr>
          <w:ilvl w:val="0"/>
          <w:numId w:val="0"/>
        </w:numPr>
        <w:ind w:left="567" w:hanging="567"/>
      </w:pPr>
    </w:p>
    <w:p w:rsidRPr="00754BA9" w:rsidR="002D4F1D" w:rsidP="00897757" w:rsidRDefault="002D4F1D">
      <w:pPr>
        <w:pStyle w:val="Heading2"/>
        <w:ind w:left="567" w:hanging="567"/>
      </w:pPr>
      <w:r>
        <w:t>På samma sätt måste digital teknik vara öppen, inkluderande, icke-diskriminerande, rättvis och opartisk. Detta är ännu viktigare i och med att allt fler offentliga tjänster blir digitala. Enligt kommissionen har 65 % av EU-medborgarna i dag grundläggande digitala färdigheter. Målet är att denna andel ska vara 80 % senast 2030. Frågan om att inkludera och stödja de återstående 20 % av befolkningen (ca 90 miljoner EU-medborgare) är avgörande för att minska fattigdom och utestängning. Dessa medborgare tillhör vanligtvis de fattigaste och äldsta och bor på landsbygden. De skulle kunna bli ännu mer utsatta i hanteringen av offentliga och privata tjänster, som blir alltmer digitaliserade. EESK betonar att tillgång till människor i ekonomiska och administrativa förbindelser måste garanteras.</w:t>
      </w:r>
    </w:p>
    <w:p w:rsidR="0070134D" w:rsidRDefault="0070134D">
      <w:pPr>
        <w:spacing w:line="240" w:lineRule="auto"/>
        <w:jc w:val="left"/>
      </w:pPr>
      <w:r>
        <w:br w:type="page"/>
      </w:r>
    </w:p>
    <w:p w:rsidRPr="00754BA9" w:rsidR="00C1215E" w:rsidP="00897757" w:rsidRDefault="002D4F1D">
      <w:pPr>
        <w:pStyle w:val="Heading2"/>
        <w:ind w:left="567" w:hanging="567"/>
      </w:pPr>
      <w:r>
        <w:lastRenderedPageBreak/>
        <w:t>EESK stöder till fullo målet att göra alla viktiga europeiska offentliga tjänster tillgängliga online, och EU-medborgarnas patientjournaler måste också bli helt digitala, eftersom 80 % av medborgarna förväntas använda en digital identitet. Detta kommer dock också att kräva samordnade insatser och politisk vilja från alla medlemsstater. EESK anser att det civila samhällets organisationer bör göras delaktiga för att detta mål ska kunna uppnås. Grundläggande digitala resurser för offentliga tjänster bör i princip vara kostnadsfria. Under alla omständigheter får digitaliseringen av offentliga tjänster inte leda till större ekonomiska hinder för användarna.</w:t>
      </w:r>
    </w:p>
    <w:p w:rsidRPr="00754BA9" w:rsidR="00465906" w:rsidP="0015678B" w:rsidRDefault="00465906"/>
    <w:p w:rsidRPr="00754BA9" w:rsidR="00465906" w:rsidP="003916A0" w:rsidRDefault="00465906">
      <w:pPr>
        <w:pStyle w:val="Heading1"/>
        <w:keepNext/>
      </w:pPr>
      <w:r>
        <w:rPr>
          <w:b/>
          <w:bCs/>
        </w:rPr>
        <w:t>Särskilda kommentarer</w:t>
      </w:r>
    </w:p>
    <w:p w:rsidRPr="00754BA9" w:rsidR="00465906" w:rsidP="003916A0" w:rsidRDefault="00465906">
      <w:pPr>
        <w:keepNext/>
        <w:outlineLvl w:val="0"/>
      </w:pPr>
    </w:p>
    <w:p w:rsidRPr="00754BA9" w:rsidR="00465906" w:rsidP="00F570EF" w:rsidRDefault="00465906">
      <w:pPr>
        <w:pStyle w:val="Heading2"/>
        <w:ind w:left="567" w:hanging="567"/>
      </w:pPr>
      <w:r>
        <w:t>Den ökade digitaliseringen av livet kräver särskild omsorg när det gäller cybersäkerhet och risken för bedrägerier, och det är mycket viktigt att utbilda medborgarna i detta avseende. Att reglera kroppsnära teknik är särskilt angeläget och bör ägnas särskild uppmärksamhet.</w:t>
      </w:r>
    </w:p>
    <w:p w:rsidRPr="00754BA9" w:rsidR="00465906" w:rsidP="00F570EF" w:rsidRDefault="00465906">
      <w:pPr>
        <w:pStyle w:val="Heading2"/>
        <w:numPr>
          <w:ilvl w:val="0"/>
          <w:numId w:val="0"/>
        </w:numPr>
        <w:ind w:left="567" w:hanging="567"/>
      </w:pPr>
    </w:p>
    <w:p w:rsidRPr="00754BA9" w:rsidR="00465906" w:rsidP="00F570EF" w:rsidRDefault="00465906">
      <w:pPr>
        <w:pStyle w:val="Heading2"/>
        <w:ind w:left="567" w:hanging="567"/>
      </w:pPr>
      <w:r>
        <w:t xml:space="preserve">EU:s lagstiftning om den digitala ekonomin utvecklas snabbt. Medborgare och företag måste upplysas om sina rättigheter och skyldigheter i den digitala miljön. Det bör göras kontinuerliga insatser för att konsolidera lagstiftningsinitiativ och göra lagstiftningen lättare att förstå och tillämpa för medborgare och företag. </w:t>
      </w:r>
    </w:p>
    <w:p w:rsidRPr="00754BA9" w:rsidR="00465906" w:rsidP="00F570EF" w:rsidRDefault="00465906">
      <w:pPr>
        <w:pStyle w:val="Heading2"/>
        <w:numPr>
          <w:ilvl w:val="0"/>
          <w:numId w:val="0"/>
        </w:numPr>
        <w:ind w:left="567" w:hanging="567"/>
      </w:pPr>
    </w:p>
    <w:p w:rsidRPr="00754BA9" w:rsidR="00465906" w:rsidP="00F570EF" w:rsidRDefault="00465906">
      <w:pPr>
        <w:pStyle w:val="Heading2"/>
        <w:ind w:left="567" w:hanging="567"/>
      </w:pPr>
      <w:r w:rsidRPr="00956689">
        <w:rPr>
          <w:spacing w:val="-4"/>
        </w:rPr>
        <w:t>EESK välkomnar den regelbundna övervakningen a</w:t>
      </w:r>
      <w:r w:rsidRPr="00956689" w:rsidR="00B22B7A">
        <w:rPr>
          <w:spacing w:val="-4"/>
        </w:rPr>
        <w:t>v målen och styrningssysteme</w:t>
      </w:r>
      <w:r w:rsidR="00956689">
        <w:rPr>
          <w:spacing w:val="-4"/>
        </w:rPr>
        <w:t xml:space="preserve">t i </w:t>
      </w:r>
      <w:r w:rsidRPr="00956689">
        <w:rPr>
          <w:spacing w:val="-4"/>
        </w:rPr>
        <w:t>meddelandet</w:t>
      </w:r>
      <w:r>
        <w:t>, och projekt där flera länder samarbetar är avg</w:t>
      </w:r>
      <w:r w:rsidR="00B22B7A">
        <w:t>örande för att uppnå visionen i</w:t>
      </w:r>
      <w:r w:rsidR="00956689">
        <w:t xml:space="preserve"> </w:t>
      </w:r>
      <w:bookmarkStart w:name="_GoBack" w:id="0"/>
      <w:bookmarkEnd w:id="0"/>
      <w:r>
        <w:t>meddelandet.</w:t>
      </w:r>
    </w:p>
    <w:p w:rsidRPr="00754BA9" w:rsidR="00465906" w:rsidP="00F570EF" w:rsidRDefault="00465906">
      <w:pPr>
        <w:pStyle w:val="Heading2"/>
        <w:numPr>
          <w:ilvl w:val="0"/>
          <w:numId w:val="0"/>
        </w:numPr>
        <w:ind w:left="567" w:hanging="567"/>
      </w:pPr>
    </w:p>
    <w:p w:rsidRPr="00754BA9" w:rsidR="000218D2" w:rsidP="00B45E5C" w:rsidRDefault="000218D2">
      <w:pPr>
        <w:pStyle w:val="Heading2"/>
        <w:ind w:left="567" w:hanging="567"/>
      </w:pPr>
      <w:r>
        <w:t>EESK föreslår att man utarbetar fallstudier av vissa sektorer i medlemsstaterna och i länder utanför EU för att anta eller främja bästa praxis på europeisk nivå. Regulatoriska sandlådor, som tillhandahåller ett säkert utrymme för att testa nya affärsmodeller och affärsidéer, bör främjas. En</w:t>
      </w:r>
      <w:r w:rsidR="0070134D">
        <w:t> </w:t>
      </w:r>
      <w:r>
        <w:t>ambitiös digital ekonomi måste skapa flexibla och tillåtande testområden.</w:t>
      </w:r>
    </w:p>
    <w:p w:rsidRPr="00754BA9" w:rsidR="00085704" w:rsidP="00085704" w:rsidRDefault="00085704"/>
    <w:p w:rsidRPr="00754BA9" w:rsidR="00465906" w:rsidP="003916A0" w:rsidRDefault="00465906">
      <w:pPr>
        <w:pStyle w:val="Heading1"/>
        <w:keepNext/>
      </w:pPr>
      <w:r>
        <w:rPr>
          <w:b/>
        </w:rPr>
        <w:t>En befolkning med digital kompetens och en högkvalificerad digital yrkeskår</w:t>
      </w:r>
    </w:p>
    <w:p w:rsidRPr="00754BA9" w:rsidR="00465906" w:rsidP="003916A0" w:rsidRDefault="00465906">
      <w:pPr>
        <w:pStyle w:val="Heading1"/>
        <w:keepNext/>
        <w:numPr>
          <w:ilvl w:val="0"/>
          <w:numId w:val="0"/>
        </w:numPr>
      </w:pPr>
    </w:p>
    <w:p w:rsidRPr="00754BA9" w:rsidR="00687720" w:rsidP="00687720" w:rsidRDefault="00085704">
      <w:pPr>
        <w:pStyle w:val="Heading2"/>
        <w:ind w:left="567" w:hanging="567"/>
      </w:pPr>
      <w:r>
        <w:t>EESK stöder målet om 20 miljoner anställda IKT-specialister, med konvergens mellan kvinnor och män</w:t>
      </w:r>
      <w:r w:rsidRPr="00754BA9">
        <w:rPr>
          <w:rStyle w:val="FootnoteReference"/>
        </w:rPr>
        <w:footnoteReference w:id="2"/>
      </w:r>
      <w:r>
        <w:t xml:space="preserve"> (referensscenario 2019: 7,8 miljoner). Detta kommer naturligtvis att kräva investeringar i lämpliga utbildningssystem som kan stödja detta mål.</w:t>
      </w:r>
    </w:p>
    <w:p w:rsidRPr="00754BA9" w:rsidR="00687720" w:rsidP="00687720" w:rsidRDefault="00687720"/>
    <w:p w:rsidRPr="00754BA9" w:rsidR="00B45E5C" w:rsidP="00B45E5C" w:rsidRDefault="003464D5">
      <w:pPr>
        <w:pStyle w:val="Heading2"/>
        <w:ind w:left="567" w:hanging="567"/>
      </w:pPr>
      <w:r>
        <w:t xml:space="preserve">Digitaliseringen av de fria yrkenas tjänster som är nära kopplade till allmänna intressen såsom hälsa, säkerhet, rätt och levnadsstandard har stor inverkan på samhället och kräver nya </w:t>
      </w:r>
      <w:r w:rsidRPr="00F46B13">
        <w:rPr>
          <w:spacing w:val="-2"/>
        </w:rPr>
        <w:t>yrkes</w:t>
      </w:r>
      <w:r w:rsidRPr="00F46B13" w:rsidR="00F46B13">
        <w:rPr>
          <w:spacing w:val="-2"/>
        </w:rPr>
        <w:softHyphen/>
      </w:r>
      <w:r w:rsidRPr="00F46B13">
        <w:rPr>
          <w:spacing w:val="-2"/>
        </w:rPr>
        <w:t>mässiga och etiska strategier.</w:t>
      </w:r>
      <w:r w:rsidRPr="00F46B13">
        <w:rPr>
          <w:rStyle w:val="FootnoteReference"/>
          <w:spacing w:val="-2"/>
        </w:rPr>
        <w:footnoteReference w:id="3"/>
      </w:r>
      <w:r w:rsidRPr="00F46B13">
        <w:rPr>
          <w:spacing w:val="-2"/>
        </w:rPr>
        <w:t xml:space="preserve"> Dess framgång är beroende av både en högkvalificerad yrkeskår och användarnas, patienternas, klienternas och konsumenternas digitala färdigheter och förståelse.</w:t>
      </w:r>
    </w:p>
    <w:p w:rsidRPr="00754BA9" w:rsidR="00B45E5C" w:rsidP="00B45E5C" w:rsidRDefault="00B45E5C">
      <w:pPr>
        <w:ind w:left="567" w:hanging="567"/>
      </w:pPr>
    </w:p>
    <w:p w:rsidRPr="00754BA9" w:rsidR="00B45E5C" w:rsidP="00B45E5C" w:rsidRDefault="00B45E5C">
      <w:pPr>
        <w:pStyle w:val="Heading2"/>
        <w:ind w:left="567" w:hanging="567"/>
        <w:rPr>
          <w:iCs/>
        </w:rPr>
      </w:pPr>
      <w:r>
        <w:t>EESK betonar det ökande behovet av att fortbilda och omskola människor och främja inställningen att lärandet är en livslång process för alla.</w:t>
      </w:r>
    </w:p>
    <w:p w:rsidRPr="00754BA9" w:rsidR="00B45E5C" w:rsidP="00B45E5C" w:rsidRDefault="00B45E5C">
      <w:pPr>
        <w:pStyle w:val="Heading2"/>
        <w:ind w:left="567" w:hanging="567"/>
      </w:pPr>
      <w:r>
        <w:lastRenderedPageBreak/>
        <w:t>Pandemin har främjat distansinlärningen. Samtidigt har det blivit uppenbart att detta innebär en stor risk för fördröjt lärande för barn från lägre sociala klasser. När handlingsplanen för de digitala målen för 2030 genomförs måste särskild uppmärksamhet ägnas åt digital fattigdom.</w:t>
      </w:r>
    </w:p>
    <w:p w:rsidRPr="00754BA9" w:rsidR="00B45E5C" w:rsidP="00B45E5C" w:rsidRDefault="00B45E5C"/>
    <w:p w:rsidRPr="00754BA9" w:rsidR="00465906" w:rsidP="003916A0" w:rsidRDefault="00465906">
      <w:pPr>
        <w:pStyle w:val="Heading1"/>
        <w:keepNext/>
      </w:pPr>
      <w:r>
        <w:rPr>
          <w:b/>
        </w:rPr>
        <w:t>EU:s globala roll under det digitala decenniet och lika villkor för små och medelstora företag</w:t>
      </w:r>
    </w:p>
    <w:p w:rsidRPr="00754BA9" w:rsidR="00B45E5C" w:rsidP="003916A0" w:rsidRDefault="00B45E5C">
      <w:pPr>
        <w:keepNext/>
      </w:pPr>
    </w:p>
    <w:p w:rsidRPr="00754BA9" w:rsidR="00E72096" w:rsidP="00B45E5C" w:rsidRDefault="00E72096">
      <w:pPr>
        <w:pStyle w:val="Heading2"/>
        <w:ind w:left="567" w:hanging="567"/>
      </w:pPr>
      <w:r>
        <w:t>När det gäller små och medelstora företag är det naturligtvis mycket viktigt att stödja deras digitaliseringsinsatser genom olika strategier, men det är också viktigt att betona de små och medelstora företagens roll som drivkrafter för innovation inom digital teknik.</w:t>
      </w:r>
    </w:p>
    <w:p w:rsidRPr="00754BA9" w:rsidR="00687720" w:rsidP="00687720" w:rsidRDefault="00687720"/>
    <w:p w:rsidRPr="00754BA9" w:rsidR="00E72096" w:rsidP="00E72096" w:rsidRDefault="00E72096">
      <w:pPr>
        <w:pStyle w:val="Heading2"/>
        <w:ind w:left="567" w:hanging="567"/>
      </w:pPr>
      <w:r>
        <w:t>Programvaruutveckling är en snabbt växande delsektor i den digitala processen. Stöd till innovativa små och medelstora företag förtjänar särskild uppmärksamhet. EESK stöder de finansiella mekanismer som kan säkerställa lämpligt stöd till små och medelstora företag för att garantera en smidig omställning. Samtidigt måste kontinuiteten säkerställas, vilket innebär att uppgraderingar till nyare versioner tillhandahålls så att användarna inte ständigt behöver investera i nya program.</w:t>
      </w:r>
    </w:p>
    <w:p w:rsidRPr="00754BA9" w:rsidR="00E72096" w:rsidP="00E72096" w:rsidRDefault="00E72096"/>
    <w:p w:rsidRPr="00754BA9" w:rsidR="00E72096" w:rsidP="00B45E5C" w:rsidRDefault="00E72096">
      <w:pPr>
        <w:pStyle w:val="Heading2"/>
        <w:ind w:left="567" w:hanging="567"/>
      </w:pPr>
      <w:r>
        <w:t>Alla företag, oavsett om de är små och medelstora företag, uppstartsföretag eller expanderande företag, behöver kapital. Målen i dokumentet belyser hur brådskande det är att uppnå en kapitalmarknadsunion, som beaktar marknadslösningar och minskar beroendet av bank</w:t>
      </w:r>
      <w:r w:rsidR="0070134D">
        <w:softHyphen/>
      </w:r>
      <w:r>
        <w:t>finansiering och förhandsstöd, och som främjar överföring av besparingar mellan olika medlemsstater i strävan efter den bästa avkastningen, liksom behovet av att undanröja skattesnedvridningen till förmån för skuldsättning. Innovativa företag behöver eget kapital och ett skattesystem som inte i alltför hög grad missgynnar företagare med marginalskatter på deras kapitalvinster.</w:t>
      </w:r>
    </w:p>
    <w:p w:rsidRPr="00754BA9" w:rsidR="00EF0CBA" w:rsidP="00EF0CBA" w:rsidRDefault="00EF0CBA"/>
    <w:p w:rsidRPr="00754BA9" w:rsidR="00465906" w:rsidP="003916A0" w:rsidRDefault="00465906">
      <w:pPr>
        <w:pStyle w:val="Heading1"/>
        <w:keepNext/>
      </w:pPr>
      <w:r>
        <w:rPr>
          <w:b/>
        </w:rPr>
        <w:t>Risker och skyddsåtgärder</w:t>
      </w:r>
    </w:p>
    <w:p w:rsidRPr="00754BA9" w:rsidR="00465906" w:rsidP="003916A0" w:rsidRDefault="00465906">
      <w:pPr>
        <w:pStyle w:val="Heading1"/>
        <w:keepNext/>
        <w:numPr>
          <w:ilvl w:val="0"/>
          <w:numId w:val="0"/>
        </w:numPr>
      </w:pPr>
    </w:p>
    <w:p w:rsidRPr="00754BA9" w:rsidR="004A4F0E" w:rsidP="00BC1D61" w:rsidRDefault="00E72096">
      <w:pPr>
        <w:pStyle w:val="Heading2"/>
        <w:ind w:left="567" w:hanging="567"/>
      </w:pPr>
      <w:r>
        <w:t xml:space="preserve">Behovet av säkerhet, förutsägbarhet och både fysisk och psykisk </w:t>
      </w:r>
      <w:r w:rsidR="00583D78">
        <w:t>hälsa måste också prioriteras i </w:t>
      </w:r>
      <w:r>
        <w:t>denna agenda. Det är viktigt att öka människornas medvetenhet om säkerhet, tillsammans med teknik för att förbättra livskvaliteten och arbetstillfällena. I enlighet med denna princip anser EESK att kommissionen bör utnyttja det tillfälle som ges i och med den planerade årliga övervakningen för att undersöka européernas uppfattning om respekten för deras rättigheter och värden i syfte att säkerställa att rätten till hälsa skyddas på lämpligt sätt.</w:t>
      </w:r>
    </w:p>
    <w:p w:rsidRPr="00754BA9" w:rsidR="00BC1D61" w:rsidP="00486BFF" w:rsidRDefault="00BC1D61"/>
    <w:p w:rsidRPr="00754BA9" w:rsidR="00BC1D61" w:rsidRDefault="00BC1D61">
      <w:pPr>
        <w:pStyle w:val="Heading2"/>
        <w:ind w:left="567" w:hanging="567"/>
      </w:pPr>
      <w:r>
        <w:t>På liknande sätt rekommenderar EESK att EU, i syfte att åtfölja denna nya industriella revolution, utarbetar en särskild övervakningsstrategi som omfattar alla elektromagnetiska föroreningar som orsakas av de olika teknikformer som för närvarande finns tillgängliga. Detta skulle göra det möjligt att spåra elektromagnetiska effekter i hela Europa i syfte att utveckla en facklitteratur om ämnet för att trygga befolkningens hälsotillstånd så snart den europeiska elektroniska patientjournalen har införts och data kan jämföras. Alla medlemsstater bör övervaka detta, och resultaten bör matas in i en gemensam europeisk databas. En europeisk politik bör utvecklas för att öka människors förtroende på detta område.</w:t>
      </w:r>
    </w:p>
    <w:p w:rsidRPr="00754BA9" w:rsidR="004A4F0E" w:rsidP="004A4F0E" w:rsidRDefault="004A4F0E"/>
    <w:p w:rsidRPr="00754BA9" w:rsidR="006C4B39" w:rsidP="00B45E5C" w:rsidRDefault="00E72096">
      <w:pPr>
        <w:pStyle w:val="Heading2"/>
        <w:ind w:left="567" w:hanging="567"/>
      </w:pPr>
      <w:r>
        <w:lastRenderedPageBreak/>
        <w:t>Den digitala tekniken bör tjäna EU-medborgarna, som aldrig bör behandlas som objekt eller rena datakällor. Befintliga etiska och tekniska riktlinjer, såsom de etiska riktlinjerna för tillförlitlig artificiell intelligens (AI) från högnivåexpertgruppen för artificiell intelligens, bör beaktas.</w:t>
      </w:r>
    </w:p>
    <w:p w:rsidRPr="00754BA9" w:rsidR="00687720" w:rsidP="00B45E5C" w:rsidRDefault="00687720">
      <w:pPr>
        <w:ind w:left="567" w:hanging="567"/>
      </w:pPr>
    </w:p>
    <w:p w:rsidRPr="00754BA9" w:rsidR="00E72096" w:rsidP="00B45E5C" w:rsidRDefault="00E72096">
      <w:pPr>
        <w:pStyle w:val="Heading2"/>
        <w:ind w:left="567" w:hanging="567"/>
      </w:pPr>
      <w:r>
        <w:t>Mot bakgrund av de risker som databehandling medför rekommenderar EESK att man vidtar åtgärder för att se till att inte mer data lagras än vad som ett företag faktiskt behöver och att data inte lagras längre än vad som är nödvändigt. Samtidigt är datadriven innovation en nyckelfaktor för att vara konkurrenskraftig i den digitala miljön, och myndigheterna bör verka för ett sektorsövergripande regelverk för datadelning för att möjliggöra användarcentrerad datadelning.</w:t>
      </w:r>
      <w:r>
        <w:rPr>
          <w:sz w:val="21"/>
          <w:szCs w:val="21"/>
        </w:rPr>
        <w:t xml:space="preserve"> </w:t>
      </w:r>
      <w:r>
        <w:t xml:space="preserve">Den tillämpliga ramen måste främja tillgången till data och inriktas på </w:t>
      </w:r>
      <w:proofErr w:type="spellStart"/>
      <w:r>
        <w:t>interoperabilitet</w:t>
      </w:r>
      <w:proofErr w:type="spellEnd"/>
      <w:r>
        <w:t>.</w:t>
      </w:r>
    </w:p>
    <w:p w:rsidRPr="00754BA9" w:rsidR="00687720" w:rsidP="00B45E5C" w:rsidRDefault="00687720">
      <w:pPr>
        <w:ind w:left="567" w:hanging="567"/>
      </w:pPr>
    </w:p>
    <w:p w:rsidRPr="00754BA9" w:rsidR="00687720" w:rsidP="00B45E5C" w:rsidRDefault="00687720">
      <w:pPr>
        <w:pStyle w:val="Heading2"/>
        <w:ind w:left="567" w:hanging="567"/>
      </w:pPr>
      <w:r>
        <w:t xml:space="preserve">20 % av faciliteten för återhämtning och </w:t>
      </w:r>
      <w:proofErr w:type="spellStart"/>
      <w:r>
        <w:t>resiliens</w:t>
      </w:r>
      <w:proofErr w:type="spellEnd"/>
      <w:r>
        <w:t xml:space="preserve"> är öronmärkt för digital </w:t>
      </w:r>
      <w:proofErr w:type="spellStart"/>
      <w:r>
        <w:t>konnektivitet</w:t>
      </w:r>
      <w:proofErr w:type="spellEnd"/>
      <w:r>
        <w:t xml:space="preserve"> och 37 % för grön omställning. Detta förutsätter en ambitiös och samstämmig vision för den europeiska telekombranschen och ett åtagande om ett gynnsammare regelverk som stöder privata investeringar i nätinfrastruktur samt utveckling av självständiga integrerade telekommunikations</w:t>
      </w:r>
      <w:r w:rsidR="0070134D">
        <w:softHyphen/>
      </w:r>
      <w:r>
        <w:t>tjänster med moln-, kant-, data- och AI-teknik.</w:t>
      </w:r>
    </w:p>
    <w:p w:rsidRPr="00754BA9" w:rsidR="00687720" w:rsidP="00B45E5C" w:rsidRDefault="00687720">
      <w:pPr>
        <w:ind w:left="567" w:hanging="567"/>
      </w:pPr>
    </w:p>
    <w:p w:rsidRPr="00754BA9" w:rsidR="00E72096" w:rsidP="00B45E5C" w:rsidRDefault="00E72096">
      <w:pPr>
        <w:pStyle w:val="Heading2"/>
        <w:ind w:left="567" w:hanging="567"/>
      </w:pPr>
      <w:r>
        <w:t>EESK anser att den digitala omställningen måste anpassas till omställningen till en grönare ekonomi och ta hänsyn till miljöpåverkan. Användningen av resurser (inklusive knappa resurser) och deras energiförbrukning måste vara rimlig. Öppenhet om molntjänsternas koldioxidavtryck bör krävas på EU-nivå för att göra det möjligt för alla organisationer att beräkna sitt digitala koldioxidavtryck och utarbeta planer för att minska det.</w:t>
      </w:r>
    </w:p>
    <w:p w:rsidRPr="00754BA9" w:rsidR="00E72096" w:rsidP="00B45E5C" w:rsidRDefault="00E72096">
      <w:pPr>
        <w:ind w:left="567" w:hanging="567"/>
      </w:pPr>
    </w:p>
    <w:p w:rsidRPr="00754BA9" w:rsidR="00E72096" w:rsidP="00B45E5C" w:rsidRDefault="00E72096">
      <w:pPr>
        <w:pStyle w:val="Heading2"/>
        <w:ind w:left="567" w:hanging="567"/>
      </w:pPr>
      <w:r>
        <w:t>EESK betonar behovet av att hålla jämna steg med den snabba utvecklingen av teknik och affärsmodeller och sträva efter att undanröja eventuella regleringsluckor, särskilt sådana som kan skada konsumenterna och de mest utsatta medborgarna.</w:t>
      </w:r>
    </w:p>
    <w:p w:rsidRPr="00754BA9" w:rsidR="00E95B50" w:rsidP="00E95B50" w:rsidRDefault="00E95B50"/>
    <w:p w:rsidRPr="00754BA9" w:rsidR="00E95B50" w:rsidP="00E95B50" w:rsidRDefault="00E95B50">
      <w:r>
        <w:t>Bryssel den 7 juli 2021</w:t>
      </w:r>
    </w:p>
    <w:p w:rsidRPr="00754BA9" w:rsidR="00E95B50" w:rsidP="00E95B50" w:rsidRDefault="00E95B50"/>
    <w:p w:rsidRPr="00754BA9" w:rsidR="00E95B50" w:rsidP="00E95B50" w:rsidRDefault="00E95B50"/>
    <w:p w:rsidRPr="00754BA9" w:rsidR="00E95B50" w:rsidP="00E95B50" w:rsidRDefault="00E95B50"/>
    <w:p w:rsidRPr="00754BA9" w:rsidR="00E95B50" w:rsidP="00E95B50" w:rsidRDefault="00E95B50"/>
    <w:p w:rsidRPr="00754BA9" w:rsidR="00E95B50" w:rsidP="00E95B50" w:rsidRDefault="00FB6A3A">
      <w:r>
        <w:t xml:space="preserve">Christa </w:t>
      </w:r>
      <w:proofErr w:type="spellStart"/>
      <w:r>
        <w:t>Schweng</w:t>
      </w:r>
      <w:proofErr w:type="spellEnd"/>
    </w:p>
    <w:p w:rsidRPr="00754BA9" w:rsidR="00E95B50" w:rsidP="00E95B50" w:rsidRDefault="00FB6A3A">
      <w:r>
        <w:t>Europeiska ekonomiska och sociala kommitténs ordförande</w:t>
      </w:r>
    </w:p>
    <w:p w:rsidRPr="00754BA9" w:rsidR="00E95B50" w:rsidP="00E95B50" w:rsidRDefault="00E95B50"/>
    <w:p w:rsidRPr="00754BA9" w:rsidR="00646AC2" w:rsidP="0015678B" w:rsidRDefault="00646AC2">
      <w:pPr>
        <w:jc w:val="center"/>
      </w:pPr>
      <w:r>
        <w:t>_____________</w:t>
      </w:r>
    </w:p>
    <w:sectPr w:rsidRPr="00754BA9" w:rsidR="00646AC2" w:rsidSect="00754BA9">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EC8BB" w16cex:dateUtc="2021-05-18T22:14:00Z"/>
  <w16cex:commentExtensible w16cex:durableId="244ECF11" w16cex:dateUtc="2021-05-18T22: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678331" w16cid:durableId="244EC8BB"/>
  <w16cid:commentId w16cid:paraId="56D4AF91" w16cid:durableId="245267FB"/>
  <w16cid:commentId w16cid:paraId="0D4745B9" w16cid:durableId="24526800"/>
  <w16cid:commentId w16cid:paraId="1CD79967" w16cid:durableId="244E1277"/>
  <w16cid:commentId w16cid:paraId="4748A2C8" w16cid:durableId="244ECF1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5F61" w:rsidRDefault="00535F61">
      <w:r>
        <w:separator/>
      </w:r>
    </w:p>
  </w:endnote>
  <w:endnote w:type="continuationSeparator" w:id="0">
    <w:p w:rsidR="00535F61" w:rsidRDefault="00535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754BA9" w:rsidRDefault="00754BA9" w:rsidP="00754BA9">
    <w:pPr>
      <w:pStyle w:val="Footer"/>
    </w:pPr>
    <w:r>
      <w:t>INT/933 – EESC-2021-01530-00-0</w:t>
    </w:r>
    <w:r w:rsidR="0070134D">
      <w:t>1</w:t>
    </w:r>
    <w:r>
      <w:t xml:space="preserve">-AC-TRA (EN) </w:t>
    </w:r>
    <w:r>
      <w:fldChar w:fldCharType="begin"/>
    </w:r>
    <w:r>
      <w:instrText xml:space="preserve"> PAGE  \* Arabic  \* MERGEFORMAT </w:instrText>
    </w:r>
    <w:r>
      <w:fldChar w:fldCharType="separate"/>
    </w:r>
    <w:r w:rsidR="002E1DE3">
      <w:rPr>
        <w:noProof/>
      </w:rPr>
      <w:t>1</w:t>
    </w:r>
    <w:r>
      <w:fldChar w:fldCharType="end"/>
    </w:r>
    <w:r>
      <w:t>/</w:t>
    </w:r>
    <w:r w:rsidR="00956689">
      <w:fldChar w:fldCharType="begin"/>
    </w:r>
    <w:r w:rsidR="00956689">
      <w:instrText xml:space="preserve"> NUMPAGES </w:instrText>
    </w:r>
    <w:r w:rsidR="00956689">
      <w:fldChar w:fldCharType="separate"/>
    </w:r>
    <w:r w:rsidR="002E1DE3">
      <w:rPr>
        <w:noProof/>
      </w:rPr>
      <w:t>9</w:t>
    </w:r>
    <w:r w:rsidR="00956689">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E67" w:rsidRPr="00754BA9" w:rsidRDefault="007A2E67" w:rsidP="00754B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E67" w:rsidRPr="00754BA9" w:rsidRDefault="00754BA9" w:rsidP="00754BA9">
    <w:pPr>
      <w:pStyle w:val="Footer"/>
    </w:pPr>
    <w:r>
      <w:t>INT/933 – EESC-2021-01530-00-0</w:t>
    </w:r>
    <w:r w:rsidR="0070134D">
      <w:t>1</w:t>
    </w:r>
    <w:r>
      <w:t xml:space="preserve">-AC-TRA (EN) </w:t>
    </w:r>
    <w:r>
      <w:fldChar w:fldCharType="begin"/>
    </w:r>
    <w:r>
      <w:instrText xml:space="preserve"> PAGE  \* Arabic  \* MERGEFORMAT </w:instrText>
    </w:r>
    <w:r>
      <w:fldChar w:fldCharType="separate"/>
    </w:r>
    <w:r w:rsidR="00956689">
      <w:rPr>
        <w:noProof/>
      </w:rPr>
      <w:t>9</w:t>
    </w:r>
    <w:r>
      <w:fldChar w:fldCharType="end"/>
    </w:r>
    <w:r>
      <w:t>/</w:t>
    </w:r>
    <w:r w:rsidR="00956689">
      <w:fldChar w:fldCharType="begin"/>
    </w:r>
    <w:r w:rsidR="00956689">
      <w:instrText xml:space="preserve"> NUMPAGES </w:instrText>
    </w:r>
    <w:r w:rsidR="00956689">
      <w:fldChar w:fldCharType="separate"/>
    </w:r>
    <w:r w:rsidR="00956689">
      <w:rPr>
        <w:noProof/>
      </w:rPr>
      <w:t>9</w:t>
    </w:r>
    <w:r w:rsidR="00956689">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E67" w:rsidRPr="00754BA9" w:rsidRDefault="007A2E67" w:rsidP="00754B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5F61" w:rsidRDefault="00535F61">
      <w:r>
        <w:separator/>
      </w:r>
    </w:p>
  </w:footnote>
  <w:footnote w:type="continuationSeparator" w:id="0">
    <w:p w:rsidR="00535F61" w:rsidRDefault="00535F61">
      <w:r>
        <w:continuationSeparator/>
      </w:r>
    </w:p>
  </w:footnote>
  <w:footnote w:id="1">
    <w:p w:rsidR="002D4F1D" w:rsidRPr="00687720" w:rsidRDefault="002D4F1D" w:rsidP="002D4F1D">
      <w:pPr>
        <w:pStyle w:val="FootnoteText"/>
      </w:pPr>
      <w:r>
        <w:rPr>
          <w:rStyle w:val="FootnoteReference"/>
        </w:rPr>
        <w:footnoteRef/>
      </w:r>
      <w:r>
        <w:tab/>
      </w:r>
      <w:hyperlink r:id="rId1" w:tgtFrame="_blank" w:tooltip="EUT C 440, 6.12.2018, s. 1 – länken öppnas i ett nytt fönster" w:history="1">
        <w:r>
          <w:rPr>
            <w:rStyle w:val="Hyperlink"/>
            <w:bCs/>
            <w:color w:val="034EA2"/>
            <w:szCs w:val="16"/>
            <w:shd w:val="clear" w:color="auto" w:fill="FFFFFF"/>
          </w:rPr>
          <w:t>EUT C 440, 6.12.2018, s. 1</w:t>
        </w:r>
      </w:hyperlink>
      <w:r>
        <w:t>.</w:t>
      </w:r>
    </w:p>
  </w:footnote>
  <w:footnote w:id="2">
    <w:p w:rsidR="00085704" w:rsidRPr="00085704" w:rsidRDefault="00085704">
      <w:pPr>
        <w:pStyle w:val="FootnoteText"/>
      </w:pPr>
      <w:r>
        <w:rPr>
          <w:rStyle w:val="FootnoteReference"/>
        </w:rPr>
        <w:footnoteRef/>
      </w:r>
      <w:r>
        <w:tab/>
      </w:r>
      <w:proofErr w:type="spellStart"/>
      <w:r>
        <w:t>Desi</w:t>
      </w:r>
      <w:proofErr w:type="spellEnd"/>
      <w:r>
        <w:t>-indikator ”2b1”. För närvarande uppgår andelen kvinnor bland de anställda IKT-specialisterna till bara 18 %.</w:t>
      </w:r>
    </w:p>
  </w:footnote>
  <w:footnote w:id="3">
    <w:p w:rsidR="003464D5" w:rsidRPr="003464D5" w:rsidRDefault="003464D5">
      <w:pPr>
        <w:pStyle w:val="FootnoteText"/>
      </w:pPr>
      <w:r>
        <w:rPr>
          <w:rStyle w:val="FootnoteReference"/>
        </w:rPr>
        <w:footnoteRef/>
      </w:r>
      <w:r>
        <w:tab/>
      </w:r>
      <w:hyperlink r:id="rId2" w:history="1">
        <w:r w:rsidR="0070134D" w:rsidRPr="0070134D">
          <w:rPr>
            <w:rStyle w:val="Hyperlink"/>
          </w:rPr>
          <w:t xml:space="preserve">EUT </w:t>
        </w:r>
        <w:r w:rsidR="0070134D" w:rsidRPr="0070134D">
          <w:rPr>
            <w:rStyle w:val="Hyperlink"/>
          </w:rPr>
          <w:t>C</w:t>
        </w:r>
        <w:r w:rsidR="0070134D" w:rsidRPr="0070134D">
          <w:rPr>
            <w:rStyle w:val="Hyperlink"/>
          </w:rPr>
          <w:t xml:space="preserve"> 286</w:t>
        </w:r>
        <w:r w:rsidR="0070134D" w:rsidRPr="0070134D">
          <w:rPr>
            <w:rStyle w:val="Hyperlink"/>
          </w:rPr>
          <w:t>,</w:t>
        </w:r>
        <w:r w:rsidR="0070134D" w:rsidRPr="0070134D">
          <w:rPr>
            <w:rStyle w:val="Hyperlink"/>
          </w:rPr>
          <w:t xml:space="preserve"> 16.7.2021, s. 8</w:t>
        </w:r>
      </w:hyperlink>
      <w:r w:rsidR="0070134D">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E67" w:rsidRPr="00754BA9" w:rsidRDefault="007A2E67" w:rsidP="00754B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E67" w:rsidRPr="00754BA9" w:rsidRDefault="007A2E67" w:rsidP="00754B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E67" w:rsidRPr="00754BA9" w:rsidRDefault="007A2E67" w:rsidP="00754B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510FCC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rPr>
        <w:sz w:val="22"/>
        <w:szCs w:val="22"/>
      </w:rPr>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513C2BC8"/>
    <w:multiLevelType w:val="multilevel"/>
    <w:tmpl w:val="8BB06A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3"/>
  </w:num>
  <w:num w:numId="72">
    <w:abstractNumId w:val="0"/>
  </w:num>
  <w:num w:numId="73">
    <w:abstractNumId w:val="0"/>
  </w:num>
  <w:num w:numId="74">
    <w:abstractNumId w:val="0"/>
  </w:num>
  <w:num w:numId="75">
    <w:abstractNumId w:val="0"/>
  </w:num>
  <w:num w:numId="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0"/>
  </w:num>
  <w:num w:numId="79">
    <w:abstractNumId w:val="0"/>
    <w:lvlOverride w:ilvl="0">
      <w:startOverride w:val="4"/>
    </w:lvlOverride>
    <w:lvlOverride w:ilvl="1">
      <w:startOverride w:val="4"/>
    </w:lvlOverride>
  </w:num>
  <w:num w:numId="80">
    <w:abstractNumId w:val="2"/>
  </w:num>
  <w:num w:numId="81">
    <w:abstractNumId w:val="0"/>
    <w:lvlOverride w:ilvl="0">
      <w:startOverride w:val="1"/>
    </w:lvlOverride>
    <w:lvlOverride w:ilvl="1">
      <w:startOverride w:val="4"/>
    </w:lvlOverride>
  </w:num>
  <w:num w:numId="82">
    <w:abstractNumId w:val="0"/>
  </w:num>
  <w:num w:numId="83">
    <w:abstractNumId w:val="0"/>
    <w:lvlOverride w:ilvl="0">
      <w:startOverride w:val="6"/>
    </w:lvlOverride>
    <w:lvlOverride w:ilvl="1">
      <w:startOverride w:val="3"/>
    </w:lvlOverride>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hideSpellingErrors/>
  <w:hideGrammaticalErrors/>
  <w:proofState w:spelling="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1D33"/>
    <w:rsid w:val="00020E6E"/>
    <w:rsid w:val="000218D2"/>
    <w:rsid w:val="00031A4B"/>
    <w:rsid w:val="00033913"/>
    <w:rsid w:val="00033E5B"/>
    <w:rsid w:val="000357A8"/>
    <w:rsid w:val="000400B5"/>
    <w:rsid w:val="000430A6"/>
    <w:rsid w:val="00044240"/>
    <w:rsid w:val="00044923"/>
    <w:rsid w:val="0005249C"/>
    <w:rsid w:val="000534A5"/>
    <w:rsid w:val="0005680D"/>
    <w:rsid w:val="00063FB4"/>
    <w:rsid w:val="0006793E"/>
    <w:rsid w:val="00072E0F"/>
    <w:rsid w:val="000735E5"/>
    <w:rsid w:val="0007392F"/>
    <w:rsid w:val="00074AD8"/>
    <w:rsid w:val="00085704"/>
    <w:rsid w:val="00087B39"/>
    <w:rsid w:val="00094D5B"/>
    <w:rsid w:val="00096502"/>
    <w:rsid w:val="000A23EA"/>
    <w:rsid w:val="000A49BB"/>
    <w:rsid w:val="000B27B5"/>
    <w:rsid w:val="000B3579"/>
    <w:rsid w:val="000C3441"/>
    <w:rsid w:val="000C7F53"/>
    <w:rsid w:val="000D0CBF"/>
    <w:rsid w:val="000D2F8E"/>
    <w:rsid w:val="000D5327"/>
    <w:rsid w:val="000D631B"/>
    <w:rsid w:val="000E1DD2"/>
    <w:rsid w:val="000E6D32"/>
    <w:rsid w:val="000F196B"/>
    <w:rsid w:val="000F593B"/>
    <w:rsid w:val="00105361"/>
    <w:rsid w:val="001101F8"/>
    <w:rsid w:val="0011206F"/>
    <w:rsid w:val="0011656A"/>
    <w:rsid w:val="0012220C"/>
    <w:rsid w:val="00136475"/>
    <w:rsid w:val="00136EA3"/>
    <w:rsid w:val="00137575"/>
    <w:rsid w:val="0014073E"/>
    <w:rsid w:val="00142028"/>
    <w:rsid w:val="00144231"/>
    <w:rsid w:val="00150434"/>
    <w:rsid w:val="001524B0"/>
    <w:rsid w:val="0015436F"/>
    <w:rsid w:val="00155721"/>
    <w:rsid w:val="0015678B"/>
    <w:rsid w:val="0016503F"/>
    <w:rsid w:val="0016674F"/>
    <w:rsid w:val="00167CA0"/>
    <w:rsid w:val="00170FB2"/>
    <w:rsid w:val="00170FE5"/>
    <w:rsid w:val="0017120D"/>
    <w:rsid w:val="001714F6"/>
    <w:rsid w:val="00176168"/>
    <w:rsid w:val="00177158"/>
    <w:rsid w:val="001808A5"/>
    <w:rsid w:val="001834D9"/>
    <w:rsid w:val="00184FD4"/>
    <w:rsid w:val="00186B04"/>
    <w:rsid w:val="00186F1E"/>
    <w:rsid w:val="00190836"/>
    <w:rsid w:val="00193930"/>
    <w:rsid w:val="001950F0"/>
    <w:rsid w:val="001963A5"/>
    <w:rsid w:val="00196F1E"/>
    <w:rsid w:val="00197FCA"/>
    <w:rsid w:val="001A27DB"/>
    <w:rsid w:val="001A5B82"/>
    <w:rsid w:val="001A6852"/>
    <w:rsid w:val="001A742F"/>
    <w:rsid w:val="001B1EA7"/>
    <w:rsid w:val="001B286A"/>
    <w:rsid w:val="001B2D02"/>
    <w:rsid w:val="001B3647"/>
    <w:rsid w:val="001B77FA"/>
    <w:rsid w:val="001C0ABE"/>
    <w:rsid w:val="001C5852"/>
    <w:rsid w:val="001D45F0"/>
    <w:rsid w:val="001E2F97"/>
    <w:rsid w:val="001E4A33"/>
    <w:rsid w:val="001E5C27"/>
    <w:rsid w:val="001F602B"/>
    <w:rsid w:val="001F6AC8"/>
    <w:rsid w:val="002037D5"/>
    <w:rsid w:val="00206F90"/>
    <w:rsid w:val="00212B03"/>
    <w:rsid w:val="002131AE"/>
    <w:rsid w:val="00215C10"/>
    <w:rsid w:val="00215C2D"/>
    <w:rsid w:val="00221E2D"/>
    <w:rsid w:val="002252C4"/>
    <w:rsid w:val="00226B26"/>
    <w:rsid w:val="002315BE"/>
    <w:rsid w:val="0023183E"/>
    <w:rsid w:val="00235138"/>
    <w:rsid w:val="00243E36"/>
    <w:rsid w:val="00245240"/>
    <w:rsid w:val="0024540B"/>
    <w:rsid w:val="00245EF4"/>
    <w:rsid w:val="00250E11"/>
    <w:rsid w:val="00251383"/>
    <w:rsid w:val="002522C9"/>
    <w:rsid w:val="00252A21"/>
    <w:rsid w:val="00253E4F"/>
    <w:rsid w:val="002542E4"/>
    <w:rsid w:val="00261053"/>
    <w:rsid w:val="00262FDE"/>
    <w:rsid w:val="00263629"/>
    <w:rsid w:val="00274095"/>
    <w:rsid w:val="002769BD"/>
    <w:rsid w:val="00276A75"/>
    <w:rsid w:val="002809EA"/>
    <w:rsid w:val="002836A4"/>
    <w:rsid w:val="00284272"/>
    <w:rsid w:val="00284962"/>
    <w:rsid w:val="00287B0E"/>
    <w:rsid w:val="002A0B53"/>
    <w:rsid w:val="002A0EEF"/>
    <w:rsid w:val="002A76F9"/>
    <w:rsid w:val="002B2DF7"/>
    <w:rsid w:val="002C1DB1"/>
    <w:rsid w:val="002C3BF4"/>
    <w:rsid w:val="002C4DC2"/>
    <w:rsid w:val="002C749F"/>
    <w:rsid w:val="002D4F1D"/>
    <w:rsid w:val="002D6964"/>
    <w:rsid w:val="002E1DE3"/>
    <w:rsid w:val="002E744D"/>
    <w:rsid w:val="002E7B33"/>
    <w:rsid w:val="002F059B"/>
    <w:rsid w:val="002F5B0B"/>
    <w:rsid w:val="00300924"/>
    <w:rsid w:val="0030596E"/>
    <w:rsid w:val="00306625"/>
    <w:rsid w:val="003073C3"/>
    <w:rsid w:val="00310C50"/>
    <w:rsid w:val="00323637"/>
    <w:rsid w:val="00324E8A"/>
    <w:rsid w:val="00331D87"/>
    <w:rsid w:val="00332850"/>
    <w:rsid w:val="00334478"/>
    <w:rsid w:val="003346B4"/>
    <w:rsid w:val="00334AE6"/>
    <w:rsid w:val="003365D0"/>
    <w:rsid w:val="0034249D"/>
    <w:rsid w:val="003439AB"/>
    <w:rsid w:val="003464D5"/>
    <w:rsid w:val="0035034C"/>
    <w:rsid w:val="00354695"/>
    <w:rsid w:val="0035549B"/>
    <w:rsid w:val="0037336E"/>
    <w:rsid w:val="003755C8"/>
    <w:rsid w:val="00375687"/>
    <w:rsid w:val="0038026B"/>
    <w:rsid w:val="00380AE0"/>
    <w:rsid w:val="00383324"/>
    <w:rsid w:val="00383838"/>
    <w:rsid w:val="00387A75"/>
    <w:rsid w:val="00387F23"/>
    <w:rsid w:val="003904FD"/>
    <w:rsid w:val="003916A0"/>
    <w:rsid w:val="00391862"/>
    <w:rsid w:val="00393C1D"/>
    <w:rsid w:val="00394254"/>
    <w:rsid w:val="003A292F"/>
    <w:rsid w:val="003A37CC"/>
    <w:rsid w:val="003A7034"/>
    <w:rsid w:val="003C1166"/>
    <w:rsid w:val="003C2BFB"/>
    <w:rsid w:val="003C436B"/>
    <w:rsid w:val="003C5337"/>
    <w:rsid w:val="003C5F92"/>
    <w:rsid w:val="003D7A8C"/>
    <w:rsid w:val="003D7C00"/>
    <w:rsid w:val="003E56E5"/>
    <w:rsid w:val="003E7E60"/>
    <w:rsid w:val="003F00D4"/>
    <w:rsid w:val="003F2209"/>
    <w:rsid w:val="003F3D39"/>
    <w:rsid w:val="003F646A"/>
    <w:rsid w:val="003F6761"/>
    <w:rsid w:val="003F6A0A"/>
    <w:rsid w:val="0040058D"/>
    <w:rsid w:val="004024F5"/>
    <w:rsid w:val="00402DE1"/>
    <w:rsid w:val="00403D8B"/>
    <w:rsid w:val="004058F1"/>
    <w:rsid w:val="00407E7D"/>
    <w:rsid w:val="0041283D"/>
    <w:rsid w:val="00413AB4"/>
    <w:rsid w:val="00421373"/>
    <w:rsid w:val="00421FB7"/>
    <w:rsid w:val="004267A4"/>
    <w:rsid w:val="0042763B"/>
    <w:rsid w:val="004278AF"/>
    <w:rsid w:val="0043024C"/>
    <w:rsid w:val="00435AD7"/>
    <w:rsid w:val="00436706"/>
    <w:rsid w:val="00443D38"/>
    <w:rsid w:val="00444EA4"/>
    <w:rsid w:val="00450E7A"/>
    <w:rsid w:val="0045165E"/>
    <w:rsid w:val="00451946"/>
    <w:rsid w:val="00456AF8"/>
    <w:rsid w:val="00464265"/>
    <w:rsid w:val="00465906"/>
    <w:rsid w:val="00470B15"/>
    <w:rsid w:val="00475869"/>
    <w:rsid w:val="00475A77"/>
    <w:rsid w:val="00476741"/>
    <w:rsid w:val="00483604"/>
    <w:rsid w:val="004866A9"/>
    <w:rsid w:val="00486BFF"/>
    <w:rsid w:val="00492774"/>
    <w:rsid w:val="00492CB2"/>
    <w:rsid w:val="00496D7A"/>
    <w:rsid w:val="004A31BC"/>
    <w:rsid w:val="004A3F1A"/>
    <w:rsid w:val="004A3F45"/>
    <w:rsid w:val="004A4F0E"/>
    <w:rsid w:val="004A5738"/>
    <w:rsid w:val="004B1AFA"/>
    <w:rsid w:val="004B7088"/>
    <w:rsid w:val="004C4D12"/>
    <w:rsid w:val="004C5B76"/>
    <w:rsid w:val="004C5C53"/>
    <w:rsid w:val="004D02CD"/>
    <w:rsid w:val="004D0B24"/>
    <w:rsid w:val="004D0CFC"/>
    <w:rsid w:val="004D4B90"/>
    <w:rsid w:val="004D6B95"/>
    <w:rsid w:val="004D7F41"/>
    <w:rsid w:val="004E03A2"/>
    <w:rsid w:val="004E317E"/>
    <w:rsid w:val="004E3954"/>
    <w:rsid w:val="004E5856"/>
    <w:rsid w:val="004F2330"/>
    <w:rsid w:val="004F53C6"/>
    <w:rsid w:val="004F55C6"/>
    <w:rsid w:val="004F69DB"/>
    <w:rsid w:val="004F6B87"/>
    <w:rsid w:val="00501C2D"/>
    <w:rsid w:val="00502637"/>
    <w:rsid w:val="005073FF"/>
    <w:rsid w:val="00511140"/>
    <w:rsid w:val="00513CFE"/>
    <w:rsid w:val="00523B6A"/>
    <w:rsid w:val="00525F6C"/>
    <w:rsid w:val="00534A62"/>
    <w:rsid w:val="00535F61"/>
    <w:rsid w:val="00542943"/>
    <w:rsid w:val="00546AB4"/>
    <w:rsid w:val="005514E5"/>
    <w:rsid w:val="00552BFB"/>
    <w:rsid w:val="00563C84"/>
    <w:rsid w:val="005762F6"/>
    <w:rsid w:val="00582680"/>
    <w:rsid w:val="00583D78"/>
    <w:rsid w:val="00584FBE"/>
    <w:rsid w:val="00585483"/>
    <w:rsid w:val="00587378"/>
    <w:rsid w:val="00587C05"/>
    <w:rsid w:val="00590AAB"/>
    <w:rsid w:val="0059172E"/>
    <w:rsid w:val="005938C3"/>
    <w:rsid w:val="0059468C"/>
    <w:rsid w:val="00595125"/>
    <w:rsid w:val="00596F21"/>
    <w:rsid w:val="005A0913"/>
    <w:rsid w:val="005A3D86"/>
    <w:rsid w:val="005B1CDD"/>
    <w:rsid w:val="005B1E19"/>
    <w:rsid w:val="005B55FC"/>
    <w:rsid w:val="005C2D5E"/>
    <w:rsid w:val="005C3B81"/>
    <w:rsid w:val="005C650C"/>
    <w:rsid w:val="005D086C"/>
    <w:rsid w:val="005D11D3"/>
    <w:rsid w:val="005D4E1F"/>
    <w:rsid w:val="005D4FB3"/>
    <w:rsid w:val="005E2F07"/>
    <w:rsid w:val="005E2FEA"/>
    <w:rsid w:val="005F1D22"/>
    <w:rsid w:val="005F314B"/>
    <w:rsid w:val="005F6F3E"/>
    <w:rsid w:val="00607EBF"/>
    <w:rsid w:val="00611AF2"/>
    <w:rsid w:val="0061212B"/>
    <w:rsid w:val="006127AF"/>
    <w:rsid w:val="00613A98"/>
    <w:rsid w:val="00615969"/>
    <w:rsid w:val="00615FB2"/>
    <w:rsid w:val="0061764F"/>
    <w:rsid w:val="00617BD1"/>
    <w:rsid w:val="00617CE8"/>
    <w:rsid w:val="006278A0"/>
    <w:rsid w:val="0063095F"/>
    <w:rsid w:val="00631CBD"/>
    <w:rsid w:val="0063704F"/>
    <w:rsid w:val="006466E4"/>
    <w:rsid w:val="00646AC2"/>
    <w:rsid w:val="00650390"/>
    <w:rsid w:val="00654DAB"/>
    <w:rsid w:val="006579DF"/>
    <w:rsid w:val="0066204A"/>
    <w:rsid w:val="00670E3C"/>
    <w:rsid w:val="00677F57"/>
    <w:rsid w:val="00681088"/>
    <w:rsid w:val="006861AF"/>
    <w:rsid w:val="00687720"/>
    <w:rsid w:val="0069577E"/>
    <w:rsid w:val="0069634B"/>
    <w:rsid w:val="00696623"/>
    <w:rsid w:val="00697489"/>
    <w:rsid w:val="006A04E9"/>
    <w:rsid w:val="006A4A03"/>
    <w:rsid w:val="006A7543"/>
    <w:rsid w:val="006B0426"/>
    <w:rsid w:val="006B725C"/>
    <w:rsid w:val="006B7750"/>
    <w:rsid w:val="006C273D"/>
    <w:rsid w:val="006C4B39"/>
    <w:rsid w:val="006C5C4F"/>
    <w:rsid w:val="006C6282"/>
    <w:rsid w:val="006C762A"/>
    <w:rsid w:val="006D1CA0"/>
    <w:rsid w:val="006D5FF9"/>
    <w:rsid w:val="006E0772"/>
    <w:rsid w:val="006E0F86"/>
    <w:rsid w:val="006E20B7"/>
    <w:rsid w:val="006E33AF"/>
    <w:rsid w:val="006F0B15"/>
    <w:rsid w:val="006F0DCC"/>
    <w:rsid w:val="006F5714"/>
    <w:rsid w:val="006F5DD7"/>
    <w:rsid w:val="006F6A4B"/>
    <w:rsid w:val="0070134D"/>
    <w:rsid w:val="00703DF9"/>
    <w:rsid w:val="007048EB"/>
    <w:rsid w:val="00704FBB"/>
    <w:rsid w:val="0070726A"/>
    <w:rsid w:val="0071226B"/>
    <w:rsid w:val="00717040"/>
    <w:rsid w:val="007218A3"/>
    <w:rsid w:val="00725DA7"/>
    <w:rsid w:val="00726076"/>
    <w:rsid w:val="00746091"/>
    <w:rsid w:val="00754BA9"/>
    <w:rsid w:val="00755CC6"/>
    <w:rsid w:val="007622A7"/>
    <w:rsid w:val="00772BCB"/>
    <w:rsid w:val="007750A2"/>
    <w:rsid w:val="00781633"/>
    <w:rsid w:val="0078171A"/>
    <w:rsid w:val="007817D6"/>
    <w:rsid w:val="00781E1C"/>
    <w:rsid w:val="00787912"/>
    <w:rsid w:val="0079177A"/>
    <w:rsid w:val="00794836"/>
    <w:rsid w:val="007948D5"/>
    <w:rsid w:val="007A15C9"/>
    <w:rsid w:val="007A2E67"/>
    <w:rsid w:val="007A6676"/>
    <w:rsid w:val="007B7445"/>
    <w:rsid w:val="007B7FF5"/>
    <w:rsid w:val="007C2408"/>
    <w:rsid w:val="007C3FC6"/>
    <w:rsid w:val="007D2CE9"/>
    <w:rsid w:val="007D4DB8"/>
    <w:rsid w:val="007D4FED"/>
    <w:rsid w:val="007D69DA"/>
    <w:rsid w:val="007D70B1"/>
    <w:rsid w:val="007D7140"/>
    <w:rsid w:val="007E1CDB"/>
    <w:rsid w:val="007E408C"/>
    <w:rsid w:val="007E50BF"/>
    <w:rsid w:val="007E66A8"/>
    <w:rsid w:val="007E7E21"/>
    <w:rsid w:val="007F0460"/>
    <w:rsid w:val="007F0DA2"/>
    <w:rsid w:val="007F39CE"/>
    <w:rsid w:val="007F4DDA"/>
    <w:rsid w:val="007F5E0D"/>
    <w:rsid w:val="00801085"/>
    <w:rsid w:val="00801A89"/>
    <w:rsid w:val="00804457"/>
    <w:rsid w:val="00812138"/>
    <w:rsid w:val="008144EE"/>
    <w:rsid w:val="008151F2"/>
    <w:rsid w:val="0081777A"/>
    <w:rsid w:val="008210E0"/>
    <w:rsid w:val="00824079"/>
    <w:rsid w:val="00831F0A"/>
    <w:rsid w:val="00833A78"/>
    <w:rsid w:val="00840A99"/>
    <w:rsid w:val="0084585F"/>
    <w:rsid w:val="00846A06"/>
    <w:rsid w:val="00846D92"/>
    <w:rsid w:val="0085242D"/>
    <w:rsid w:val="00853E53"/>
    <w:rsid w:val="0085535C"/>
    <w:rsid w:val="00860E25"/>
    <w:rsid w:val="00862D37"/>
    <w:rsid w:val="00864D76"/>
    <w:rsid w:val="008656C9"/>
    <w:rsid w:val="00865FA8"/>
    <w:rsid w:val="0086711C"/>
    <w:rsid w:val="00867535"/>
    <w:rsid w:val="00875C5B"/>
    <w:rsid w:val="00883C5F"/>
    <w:rsid w:val="00891C7D"/>
    <w:rsid w:val="00892FA7"/>
    <w:rsid w:val="00897757"/>
    <w:rsid w:val="008A3301"/>
    <w:rsid w:val="008A4DF1"/>
    <w:rsid w:val="008A5636"/>
    <w:rsid w:val="008B125E"/>
    <w:rsid w:val="008B241C"/>
    <w:rsid w:val="008B408B"/>
    <w:rsid w:val="008B4F11"/>
    <w:rsid w:val="008C2362"/>
    <w:rsid w:val="008C3049"/>
    <w:rsid w:val="008C74D9"/>
    <w:rsid w:val="008D4AE9"/>
    <w:rsid w:val="008D5A71"/>
    <w:rsid w:val="008D5CF3"/>
    <w:rsid w:val="008D7D39"/>
    <w:rsid w:val="008E4574"/>
    <w:rsid w:val="008E72EF"/>
    <w:rsid w:val="008F4016"/>
    <w:rsid w:val="008F42FE"/>
    <w:rsid w:val="008F4580"/>
    <w:rsid w:val="008F4A00"/>
    <w:rsid w:val="008F5402"/>
    <w:rsid w:val="0090053A"/>
    <w:rsid w:val="00901C2A"/>
    <w:rsid w:val="009118C7"/>
    <w:rsid w:val="009225B6"/>
    <w:rsid w:val="00925397"/>
    <w:rsid w:val="00933A21"/>
    <w:rsid w:val="00934C10"/>
    <w:rsid w:val="0093662A"/>
    <w:rsid w:val="0094060C"/>
    <w:rsid w:val="00942C4B"/>
    <w:rsid w:val="00944196"/>
    <w:rsid w:val="00956689"/>
    <w:rsid w:val="009606A5"/>
    <w:rsid w:val="00962F1F"/>
    <w:rsid w:val="00965304"/>
    <w:rsid w:val="00971293"/>
    <w:rsid w:val="00973A3B"/>
    <w:rsid w:val="00983EAE"/>
    <w:rsid w:val="0098760B"/>
    <w:rsid w:val="00992528"/>
    <w:rsid w:val="009A11DD"/>
    <w:rsid w:val="009B29CD"/>
    <w:rsid w:val="009B30AA"/>
    <w:rsid w:val="009B5217"/>
    <w:rsid w:val="009B643E"/>
    <w:rsid w:val="009C48DE"/>
    <w:rsid w:val="009C63BD"/>
    <w:rsid w:val="009D60D9"/>
    <w:rsid w:val="009E16EC"/>
    <w:rsid w:val="009E1E1E"/>
    <w:rsid w:val="009E33E3"/>
    <w:rsid w:val="009E7F16"/>
    <w:rsid w:val="009F0EFA"/>
    <w:rsid w:val="009F1E65"/>
    <w:rsid w:val="009F5052"/>
    <w:rsid w:val="009F5D92"/>
    <w:rsid w:val="00A03083"/>
    <w:rsid w:val="00A04C85"/>
    <w:rsid w:val="00A05B52"/>
    <w:rsid w:val="00A100F0"/>
    <w:rsid w:val="00A156E6"/>
    <w:rsid w:val="00A177C5"/>
    <w:rsid w:val="00A21798"/>
    <w:rsid w:val="00A27D86"/>
    <w:rsid w:val="00A30A3D"/>
    <w:rsid w:val="00A31448"/>
    <w:rsid w:val="00A315CA"/>
    <w:rsid w:val="00A33151"/>
    <w:rsid w:val="00A36970"/>
    <w:rsid w:val="00A37DF3"/>
    <w:rsid w:val="00A41EB4"/>
    <w:rsid w:val="00A44BFF"/>
    <w:rsid w:val="00A501E3"/>
    <w:rsid w:val="00A50F0C"/>
    <w:rsid w:val="00A53A73"/>
    <w:rsid w:val="00A56441"/>
    <w:rsid w:val="00A734E0"/>
    <w:rsid w:val="00A736DD"/>
    <w:rsid w:val="00A82869"/>
    <w:rsid w:val="00A85102"/>
    <w:rsid w:val="00A8758C"/>
    <w:rsid w:val="00AA127E"/>
    <w:rsid w:val="00AA19AE"/>
    <w:rsid w:val="00AA423D"/>
    <w:rsid w:val="00AA6A95"/>
    <w:rsid w:val="00AB10DE"/>
    <w:rsid w:val="00AB3668"/>
    <w:rsid w:val="00AB5ED7"/>
    <w:rsid w:val="00AC0B4C"/>
    <w:rsid w:val="00AC0F60"/>
    <w:rsid w:val="00AC3092"/>
    <w:rsid w:val="00AD0AEE"/>
    <w:rsid w:val="00AD2CC1"/>
    <w:rsid w:val="00AD49E3"/>
    <w:rsid w:val="00AD4B4F"/>
    <w:rsid w:val="00AF0616"/>
    <w:rsid w:val="00AF0E28"/>
    <w:rsid w:val="00AF6F9B"/>
    <w:rsid w:val="00AF7375"/>
    <w:rsid w:val="00B01409"/>
    <w:rsid w:val="00B10DBD"/>
    <w:rsid w:val="00B15629"/>
    <w:rsid w:val="00B22B7A"/>
    <w:rsid w:val="00B2372C"/>
    <w:rsid w:val="00B32F70"/>
    <w:rsid w:val="00B373D0"/>
    <w:rsid w:val="00B37ACD"/>
    <w:rsid w:val="00B43AAA"/>
    <w:rsid w:val="00B45E5C"/>
    <w:rsid w:val="00B53064"/>
    <w:rsid w:val="00B53139"/>
    <w:rsid w:val="00B562CE"/>
    <w:rsid w:val="00B62DE2"/>
    <w:rsid w:val="00B74417"/>
    <w:rsid w:val="00B77246"/>
    <w:rsid w:val="00B866CD"/>
    <w:rsid w:val="00B904D0"/>
    <w:rsid w:val="00B93034"/>
    <w:rsid w:val="00B93A81"/>
    <w:rsid w:val="00B97472"/>
    <w:rsid w:val="00B97C5D"/>
    <w:rsid w:val="00BA1290"/>
    <w:rsid w:val="00BA3877"/>
    <w:rsid w:val="00BA65B1"/>
    <w:rsid w:val="00BA6FEE"/>
    <w:rsid w:val="00BB2792"/>
    <w:rsid w:val="00BB76BF"/>
    <w:rsid w:val="00BC0634"/>
    <w:rsid w:val="00BC1AD1"/>
    <w:rsid w:val="00BC1D61"/>
    <w:rsid w:val="00BC1D82"/>
    <w:rsid w:val="00BC4A58"/>
    <w:rsid w:val="00BC613B"/>
    <w:rsid w:val="00BD4008"/>
    <w:rsid w:val="00BD51D9"/>
    <w:rsid w:val="00BD64E2"/>
    <w:rsid w:val="00BE4995"/>
    <w:rsid w:val="00BF429A"/>
    <w:rsid w:val="00BF62BE"/>
    <w:rsid w:val="00C07126"/>
    <w:rsid w:val="00C10B0E"/>
    <w:rsid w:val="00C1215E"/>
    <w:rsid w:val="00C16853"/>
    <w:rsid w:val="00C20D5C"/>
    <w:rsid w:val="00C263F0"/>
    <w:rsid w:val="00C33D41"/>
    <w:rsid w:val="00C40A96"/>
    <w:rsid w:val="00C40AFD"/>
    <w:rsid w:val="00C41E20"/>
    <w:rsid w:val="00C41EA4"/>
    <w:rsid w:val="00C42E3E"/>
    <w:rsid w:val="00C45BD9"/>
    <w:rsid w:val="00C47180"/>
    <w:rsid w:val="00C50AA4"/>
    <w:rsid w:val="00C51C13"/>
    <w:rsid w:val="00C525A5"/>
    <w:rsid w:val="00C5300F"/>
    <w:rsid w:val="00C54594"/>
    <w:rsid w:val="00C66CE0"/>
    <w:rsid w:val="00C71BED"/>
    <w:rsid w:val="00C737B2"/>
    <w:rsid w:val="00C7687D"/>
    <w:rsid w:val="00C81B53"/>
    <w:rsid w:val="00C82AD2"/>
    <w:rsid w:val="00C85F2C"/>
    <w:rsid w:val="00C90FB6"/>
    <w:rsid w:val="00C9220E"/>
    <w:rsid w:val="00C92710"/>
    <w:rsid w:val="00C932BD"/>
    <w:rsid w:val="00C93429"/>
    <w:rsid w:val="00CA16C5"/>
    <w:rsid w:val="00CA415A"/>
    <w:rsid w:val="00CA7A35"/>
    <w:rsid w:val="00CB1536"/>
    <w:rsid w:val="00CB31F2"/>
    <w:rsid w:val="00CB7FB8"/>
    <w:rsid w:val="00CC1F71"/>
    <w:rsid w:val="00CC5588"/>
    <w:rsid w:val="00CC5EB3"/>
    <w:rsid w:val="00CD0340"/>
    <w:rsid w:val="00CD0E7B"/>
    <w:rsid w:val="00CD2ABD"/>
    <w:rsid w:val="00CD4024"/>
    <w:rsid w:val="00CD4617"/>
    <w:rsid w:val="00CD4855"/>
    <w:rsid w:val="00CE0A75"/>
    <w:rsid w:val="00CE6D43"/>
    <w:rsid w:val="00CE780C"/>
    <w:rsid w:val="00CE7888"/>
    <w:rsid w:val="00D10E1C"/>
    <w:rsid w:val="00D161A3"/>
    <w:rsid w:val="00D17B33"/>
    <w:rsid w:val="00D22E49"/>
    <w:rsid w:val="00D23716"/>
    <w:rsid w:val="00D25ED8"/>
    <w:rsid w:val="00D27F8F"/>
    <w:rsid w:val="00D316B8"/>
    <w:rsid w:val="00D31CFC"/>
    <w:rsid w:val="00D3255D"/>
    <w:rsid w:val="00D340C3"/>
    <w:rsid w:val="00D34E39"/>
    <w:rsid w:val="00D409CD"/>
    <w:rsid w:val="00D423D4"/>
    <w:rsid w:val="00D42CAF"/>
    <w:rsid w:val="00D441AD"/>
    <w:rsid w:val="00D476CB"/>
    <w:rsid w:val="00D5310F"/>
    <w:rsid w:val="00D5468B"/>
    <w:rsid w:val="00D601EF"/>
    <w:rsid w:val="00D61533"/>
    <w:rsid w:val="00D63B2F"/>
    <w:rsid w:val="00D70747"/>
    <w:rsid w:val="00D7261D"/>
    <w:rsid w:val="00D755FC"/>
    <w:rsid w:val="00D761E3"/>
    <w:rsid w:val="00D76B6D"/>
    <w:rsid w:val="00D84D07"/>
    <w:rsid w:val="00D8526A"/>
    <w:rsid w:val="00D90E91"/>
    <w:rsid w:val="00DA7008"/>
    <w:rsid w:val="00DB60E1"/>
    <w:rsid w:val="00DC1347"/>
    <w:rsid w:val="00DC1DBE"/>
    <w:rsid w:val="00DC39F1"/>
    <w:rsid w:val="00DC6EB2"/>
    <w:rsid w:val="00DE06C8"/>
    <w:rsid w:val="00DE4B35"/>
    <w:rsid w:val="00DF19C1"/>
    <w:rsid w:val="00DF54CA"/>
    <w:rsid w:val="00DF56C9"/>
    <w:rsid w:val="00DF5B64"/>
    <w:rsid w:val="00E02794"/>
    <w:rsid w:val="00E043E3"/>
    <w:rsid w:val="00E0505B"/>
    <w:rsid w:val="00E06332"/>
    <w:rsid w:val="00E07F7A"/>
    <w:rsid w:val="00E11280"/>
    <w:rsid w:val="00E12359"/>
    <w:rsid w:val="00E152FF"/>
    <w:rsid w:val="00E2268D"/>
    <w:rsid w:val="00E2461B"/>
    <w:rsid w:val="00E24886"/>
    <w:rsid w:val="00E24DCD"/>
    <w:rsid w:val="00E276FB"/>
    <w:rsid w:val="00E32595"/>
    <w:rsid w:val="00E32DC6"/>
    <w:rsid w:val="00E33A74"/>
    <w:rsid w:val="00E4030B"/>
    <w:rsid w:val="00E41D56"/>
    <w:rsid w:val="00E457DF"/>
    <w:rsid w:val="00E46642"/>
    <w:rsid w:val="00E5139A"/>
    <w:rsid w:val="00E5413D"/>
    <w:rsid w:val="00E57977"/>
    <w:rsid w:val="00E621AF"/>
    <w:rsid w:val="00E635D7"/>
    <w:rsid w:val="00E64FB0"/>
    <w:rsid w:val="00E70576"/>
    <w:rsid w:val="00E71DED"/>
    <w:rsid w:val="00E72096"/>
    <w:rsid w:val="00E72FF9"/>
    <w:rsid w:val="00E83954"/>
    <w:rsid w:val="00E86506"/>
    <w:rsid w:val="00E91730"/>
    <w:rsid w:val="00E95B50"/>
    <w:rsid w:val="00E96F04"/>
    <w:rsid w:val="00E97AEC"/>
    <w:rsid w:val="00EA0FA7"/>
    <w:rsid w:val="00EA20FE"/>
    <w:rsid w:val="00EB491E"/>
    <w:rsid w:val="00EB681B"/>
    <w:rsid w:val="00EB70A6"/>
    <w:rsid w:val="00EC4FAD"/>
    <w:rsid w:val="00EE3CFA"/>
    <w:rsid w:val="00EE69E4"/>
    <w:rsid w:val="00EF0CBA"/>
    <w:rsid w:val="00EF29F6"/>
    <w:rsid w:val="00EF2A7F"/>
    <w:rsid w:val="00EF53B3"/>
    <w:rsid w:val="00EF6A2F"/>
    <w:rsid w:val="00EF6B37"/>
    <w:rsid w:val="00EF7E90"/>
    <w:rsid w:val="00F002B6"/>
    <w:rsid w:val="00F10AFE"/>
    <w:rsid w:val="00F12FE8"/>
    <w:rsid w:val="00F15C6C"/>
    <w:rsid w:val="00F17173"/>
    <w:rsid w:val="00F20987"/>
    <w:rsid w:val="00F21F7E"/>
    <w:rsid w:val="00F224DC"/>
    <w:rsid w:val="00F2687F"/>
    <w:rsid w:val="00F26A5E"/>
    <w:rsid w:val="00F27F29"/>
    <w:rsid w:val="00F32D54"/>
    <w:rsid w:val="00F36C54"/>
    <w:rsid w:val="00F418EA"/>
    <w:rsid w:val="00F41A29"/>
    <w:rsid w:val="00F44C1C"/>
    <w:rsid w:val="00F46B13"/>
    <w:rsid w:val="00F518DF"/>
    <w:rsid w:val="00F544DB"/>
    <w:rsid w:val="00F570EF"/>
    <w:rsid w:val="00F648EA"/>
    <w:rsid w:val="00F6502E"/>
    <w:rsid w:val="00F65663"/>
    <w:rsid w:val="00F75147"/>
    <w:rsid w:val="00F756C0"/>
    <w:rsid w:val="00F75A40"/>
    <w:rsid w:val="00F77637"/>
    <w:rsid w:val="00F8435D"/>
    <w:rsid w:val="00F862E5"/>
    <w:rsid w:val="00F87DD0"/>
    <w:rsid w:val="00F93360"/>
    <w:rsid w:val="00F93FE4"/>
    <w:rsid w:val="00F96A13"/>
    <w:rsid w:val="00F97E4E"/>
    <w:rsid w:val="00FA1A40"/>
    <w:rsid w:val="00FA1D6E"/>
    <w:rsid w:val="00FA217B"/>
    <w:rsid w:val="00FA4308"/>
    <w:rsid w:val="00FB0085"/>
    <w:rsid w:val="00FB0BC5"/>
    <w:rsid w:val="00FB0BCC"/>
    <w:rsid w:val="00FB6A3A"/>
    <w:rsid w:val="00FB7F70"/>
    <w:rsid w:val="00FC0FE5"/>
    <w:rsid w:val="00FC6D2A"/>
    <w:rsid w:val="00FD1ABC"/>
    <w:rsid w:val="00FD5FF3"/>
    <w:rsid w:val="00FD7414"/>
    <w:rsid w:val="00FD7DDF"/>
    <w:rsid w:val="00FE4C92"/>
    <w:rsid w:val="00FE5689"/>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B70C4BF"/>
  <w15:docId w15:val="{4CDE36E7-4004-4474-BBB5-374DB3F33C96}"/>
  <w:attachedTemplate r:id="relationI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sv-SE"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0BF"/>
    <w:pPr>
      <w:spacing w:line="288" w:lineRule="auto"/>
      <w:jc w:val="both"/>
    </w:pPr>
    <w:rPr>
      <w:lang w:eastAsia="en-US" w:bidi="ar-SA"/>
    </w:rPr>
  </w:style>
  <w:style w:type="paragraph" w:styleId="Heading1">
    <w:name w:val="heading 1"/>
    <w:basedOn w:val="Normal"/>
    <w:next w:val="Normal"/>
    <w:link w:val="Heading1Char"/>
    <w:qFormat/>
    <w:rsid w:val="007E50BF"/>
    <w:pPr>
      <w:numPr>
        <w:numId w:val="1"/>
      </w:numPr>
      <w:ind w:left="567" w:hanging="567"/>
      <w:outlineLvl w:val="0"/>
    </w:pPr>
    <w:rPr>
      <w:kern w:val="28"/>
    </w:rPr>
  </w:style>
  <w:style w:type="paragraph" w:styleId="Heading2">
    <w:name w:val="heading 2"/>
    <w:basedOn w:val="Normal"/>
    <w:next w:val="Normal"/>
    <w:link w:val="Heading2Char"/>
    <w:qFormat/>
    <w:rsid w:val="007E50BF"/>
    <w:pPr>
      <w:numPr>
        <w:ilvl w:val="1"/>
        <w:numId w:val="1"/>
      </w:numPr>
      <w:outlineLvl w:val="1"/>
    </w:pPr>
  </w:style>
  <w:style w:type="paragraph" w:styleId="Heading3">
    <w:name w:val="heading 3"/>
    <w:basedOn w:val="Normal"/>
    <w:next w:val="Normal"/>
    <w:link w:val="Heading3Char"/>
    <w:qFormat/>
    <w:rsid w:val="007E50BF"/>
    <w:pPr>
      <w:numPr>
        <w:ilvl w:val="2"/>
        <w:numId w:val="1"/>
      </w:numPr>
      <w:ind w:left="567" w:hanging="567"/>
      <w:outlineLvl w:val="2"/>
    </w:pPr>
  </w:style>
  <w:style w:type="paragraph" w:styleId="Heading4">
    <w:name w:val="heading 4"/>
    <w:basedOn w:val="Normal"/>
    <w:next w:val="Normal"/>
    <w:link w:val="Heading4Char"/>
    <w:qFormat/>
    <w:rsid w:val="007E50BF"/>
    <w:pPr>
      <w:numPr>
        <w:ilvl w:val="3"/>
        <w:numId w:val="1"/>
      </w:numPr>
      <w:ind w:left="567" w:hanging="567"/>
      <w:outlineLvl w:val="3"/>
    </w:pPr>
  </w:style>
  <w:style w:type="paragraph" w:styleId="Heading5">
    <w:name w:val="heading 5"/>
    <w:basedOn w:val="Normal"/>
    <w:next w:val="Normal"/>
    <w:link w:val="Heading5Char"/>
    <w:qFormat/>
    <w:rsid w:val="007E50BF"/>
    <w:pPr>
      <w:numPr>
        <w:ilvl w:val="4"/>
        <w:numId w:val="1"/>
      </w:numPr>
      <w:ind w:left="567" w:hanging="567"/>
      <w:outlineLvl w:val="4"/>
    </w:pPr>
  </w:style>
  <w:style w:type="paragraph" w:styleId="Heading6">
    <w:name w:val="heading 6"/>
    <w:basedOn w:val="Normal"/>
    <w:next w:val="Normal"/>
    <w:link w:val="Heading6Char"/>
    <w:qFormat/>
    <w:rsid w:val="007E50BF"/>
    <w:pPr>
      <w:numPr>
        <w:ilvl w:val="5"/>
        <w:numId w:val="1"/>
      </w:numPr>
      <w:ind w:left="567" w:hanging="567"/>
      <w:outlineLvl w:val="5"/>
    </w:pPr>
  </w:style>
  <w:style w:type="paragraph" w:styleId="Heading7">
    <w:name w:val="heading 7"/>
    <w:basedOn w:val="Normal"/>
    <w:next w:val="Normal"/>
    <w:link w:val="Heading7Char"/>
    <w:qFormat/>
    <w:rsid w:val="007E50BF"/>
    <w:pPr>
      <w:numPr>
        <w:ilvl w:val="6"/>
        <w:numId w:val="1"/>
      </w:numPr>
      <w:ind w:left="567" w:hanging="567"/>
      <w:outlineLvl w:val="6"/>
    </w:pPr>
  </w:style>
  <w:style w:type="paragraph" w:styleId="Heading8">
    <w:name w:val="heading 8"/>
    <w:basedOn w:val="Normal"/>
    <w:next w:val="Normal"/>
    <w:link w:val="Heading8Char"/>
    <w:qFormat/>
    <w:rsid w:val="007E50BF"/>
    <w:pPr>
      <w:numPr>
        <w:ilvl w:val="7"/>
        <w:numId w:val="1"/>
      </w:numPr>
      <w:ind w:left="567" w:hanging="567"/>
      <w:outlineLvl w:val="7"/>
    </w:pPr>
  </w:style>
  <w:style w:type="paragraph" w:styleId="Heading9">
    <w:name w:val="heading 9"/>
    <w:basedOn w:val="Normal"/>
    <w:next w:val="Normal"/>
    <w:link w:val="Heading9Char"/>
    <w:qFormat/>
    <w:rsid w:val="007E50BF"/>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sv-SE" w:eastAsia="en-US" w:bidi="ar-SA"/>
    </w:rPr>
  </w:style>
  <w:style w:type="character" w:customStyle="1" w:styleId="Heading2Char">
    <w:name w:val="Heading 2 Char"/>
    <w:basedOn w:val="DefaultParagraphFont"/>
    <w:link w:val="Heading2"/>
    <w:locked/>
    <w:rsid w:val="00CB1536"/>
    <w:rPr>
      <w:lang w:val="sv-SE" w:eastAsia="en-US" w:bidi="ar-SA"/>
    </w:rPr>
  </w:style>
  <w:style w:type="character" w:customStyle="1" w:styleId="Heading3Char">
    <w:name w:val="Heading 3 Char"/>
    <w:basedOn w:val="DefaultParagraphFont"/>
    <w:link w:val="Heading3"/>
    <w:locked/>
    <w:rsid w:val="00CB1536"/>
    <w:rPr>
      <w:lang w:val="sv-SE" w:eastAsia="en-US" w:bidi="ar-SA"/>
    </w:rPr>
  </w:style>
  <w:style w:type="character" w:customStyle="1" w:styleId="Heading4Char">
    <w:name w:val="Heading 4 Char"/>
    <w:basedOn w:val="DefaultParagraphFont"/>
    <w:link w:val="Heading4"/>
    <w:locked/>
    <w:rsid w:val="00CB1536"/>
    <w:rPr>
      <w:lang w:val="sv-SE" w:eastAsia="en-US" w:bidi="ar-SA"/>
    </w:rPr>
  </w:style>
  <w:style w:type="character" w:customStyle="1" w:styleId="Heading5Char">
    <w:name w:val="Heading 5 Char"/>
    <w:basedOn w:val="DefaultParagraphFont"/>
    <w:link w:val="Heading5"/>
    <w:locked/>
    <w:rsid w:val="00CB1536"/>
    <w:rPr>
      <w:lang w:val="sv-SE" w:eastAsia="en-US" w:bidi="ar-SA"/>
    </w:rPr>
  </w:style>
  <w:style w:type="character" w:customStyle="1" w:styleId="Heading6Char">
    <w:name w:val="Heading 6 Char"/>
    <w:basedOn w:val="DefaultParagraphFont"/>
    <w:link w:val="Heading6"/>
    <w:locked/>
    <w:rsid w:val="00CB1536"/>
    <w:rPr>
      <w:lang w:val="sv-SE" w:eastAsia="en-US" w:bidi="ar-SA"/>
    </w:rPr>
  </w:style>
  <w:style w:type="character" w:customStyle="1" w:styleId="Heading7Char">
    <w:name w:val="Heading 7 Char"/>
    <w:basedOn w:val="DefaultParagraphFont"/>
    <w:link w:val="Heading7"/>
    <w:locked/>
    <w:rsid w:val="00CB1536"/>
    <w:rPr>
      <w:lang w:val="sv-SE" w:eastAsia="en-US" w:bidi="ar-SA"/>
    </w:rPr>
  </w:style>
  <w:style w:type="character" w:customStyle="1" w:styleId="Heading8Char">
    <w:name w:val="Heading 8 Char"/>
    <w:basedOn w:val="DefaultParagraphFont"/>
    <w:link w:val="Heading8"/>
    <w:locked/>
    <w:rsid w:val="00CB1536"/>
    <w:rPr>
      <w:lang w:val="sv-SE" w:eastAsia="en-US" w:bidi="ar-SA"/>
    </w:rPr>
  </w:style>
  <w:style w:type="character" w:customStyle="1" w:styleId="Heading9Char">
    <w:name w:val="Heading 9 Char"/>
    <w:basedOn w:val="DefaultParagraphFont"/>
    <w:link w:val="Heading9"/>
    <w:locked/>
    <w:rsid w:val="00CB1536"/>
    <w:rPr>
      <w:lang w:val="sv-SE" w:eastAsia="en-US" w:bidi="ar-SA"/>
    </w:rPr>
  </w:style>
  <w:style w:type="paragraph" w:styleId="Footer">
    <w:name w:val="footer"/>
    <w:basedOn w:val="Normal"/>
    <w:link w:val="FooterChar"/>
    <w:qFormat/>
    <w:rsid w:val="007E50BF"/>
  </w:style>
  <w:style w:type="character" w:customStyle="1" w:styleId="FooterChar">
    <w:name w:val="Footer Char"/>
    <w:basedOn w:val="DefaultParagraphFont"/>
    <w:link w:val="Footer"/>
    <w:locked/>
    <w:rsid w:val="00CB1536"/>
    <w:rPr>
      <w:lang w:eastAsia="en-US" w:bidi="ar-SA"/>
    </w:rPr>
  </w:style>
  <w:style w:type="paragraph" w:styleId="FootnoteText">
    <w:name w:val="footnote text"/>
    <w:aliases w:val="Schriftart: 9 pt,Schriftart: 10 pt,Schriftart: 8 pt,WB-Fußnotentext,FoodNote,ft,Footnote text,Footnote Text Char Char,Footnote Text Char1 Char Char,Footnote Text Char Char Char Char,fn,f,Footnotes,Footnote ak,C,Fußnotentextf"/>
    <w:basedOn w:val="Normal"/>
    <w:link w:val="FootnoteTextChar"/>
    <w:uiPriority w:val="99"/>
    <w:qFormat/>
    <w:rsid w:val="007E50BF"/>
    <w:pPr>
      <w:keepLines/>
      <w:spacing w:after="60" w:line="240" w:lineRule="auto"/>
      <w:ind w:left="567" w:hanging="567"/>
    </w:pPr>
    <w:rPr>
      <w:sz w:val="16"/>
    </w:rPr>
  </w:style>
  <w:style w:type="character" w:customStyle="1" w:styleId="FootnoteTextChar">
    <w:name w:val="Footnote Text Char"/>
    <w:aliases w:val="Schriftart: 9 pt Char,Schriftart: 10 pt Char,Schriftart: 8 pt Char,WB-Fußnotentext Char,FoodNote Char,ft Char,Footnote text Char,Footnote Text Char Char Char,Footnote Text Char1 Char Char Char,Footnote Text Char Char Char Char Char"/>
    <w:basedOn w:val="DefaultParagraphFont"/>
    <w:link w:val="FootnoteText"/>
    <w:uiPriority w:val="99"/>
    <w:qFormat/>
    <w:locked/>
    <w:rsid w:val="00CB1536"/>
    <w:rPr>
      <w:sz w:val="16"/>
      <w:lang w:val="sv-SE" w:eastAsia="en-US" w:bidi="ar-SA"/>
    </w:rPr>
  </w:style>
  <w:style w:type="paragraph" w:styleId="Header">
    <w:name w:val="header"/>
    <w:basedOn w:val="Normal"/>
    <w:link w:val="HeaderChar"/>
    <w:qFormat/>
    <w:rsid w:val="007E50BF"/>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aliases w:val="Footnote symbol,Footnote reference number,Footnote,Times 10 Point,Exposant 3 Point,Ref,de nota al pie,note TESI,SUPERS,EN Footnote Reference,EN Footnote text,-E Fußnotenzeichen,BVI fnr,Footnote number,Footnote Reference Number,FR"/>
    <w:basedOn w:val="DefaultParagraphFont"/>
    <w:link w:val="FootnotesymbolCarZchn"/>
    <w:uiPriority w:val="99"/>
    <w:unhideWhenUsed/>
    <w:qFormat/>
    <w:rsid w:val="007E50BF"/>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BalloonText">
    <w:name w:val="Balloon Text"/>
    <w:basedOn w:val="Normal"/>
    <w:link w:val="BalloonTextChar"/>
    <w:uiPriority w:val="99"/>
    <w:semiHidden/>
    <w:unhideWhenUsed/>
    <w:rsid w:val="007E50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0BF"/>
    <w:rPr>
      <w:rFonts w:ascii="Tahoma" w:hAnsi="Tahoma" w:cs="Tahoma"/>
      <w:sz w:val="16"/>
      <w:szCs w:val="16"/>
      <w:lang w:val="sv-SE" w:eastAsia="en-US" w:bidi="ar-SA"/>
    </w:rPr>
  </w:style>
  <w:style w:type="paragraph" w:customStyle="1" w:styleId="quotes">
    <w:name w:val="quotes"/>
    <w:basedOn w:val="Normal"/>
    <w:next w:val="Normal"/>
    <w:rsid w:val="007E50BF"/>
    <w:pPr>
      <w:ind w:left="720"/>
    </w:pPr>
    <w:rPr>
      <w:i/>
    </w:rPr>
  </w:style>
  <w:style w:type="character" w:styleId="CommentReference">
    <w:name w:val="annotation reference"/>
    <w:basedOn w:val="DefaultParagraphFont"/>
    <w:semiHidden/>
    <w:unhideWhenUsed/>
    <w:rsid w:val="002D4F1D"/>
    <w:rPr>
      <w:sz w:val="16"/>
      <w:szCs w:val="16"/>
    </w:rPr>
  </w:style>
  <w:style w:type="paragraph" w:styleId="CommentText">
    <w:name w:val="annotation text"/>
    <w:basedOn w:val="Normal"/>
    <w:link w:val="CommentTextChar"/>
    <w:semiHidden/>
    <w:unhideWhenUsed/>
    <w:rsid w:val="002D4F1D"/>
    <w:pPr>
      <w:spacing w:line="240" w:lineRule="auto"/>
    </w:pPr>
    <w:rPr>
      <w:sz w:val="20"/>
      <w:szCs w:val="20"/>
    </w:rPr>
  </w:style>
  <w:style w:type="character" w:customStyle="1" w:styleId="CommentTextChar">
    <w:name w:val="Comment Text Char"/>
    <w:basedOn w:val="DefaultParagraphFont"/>
    <w:link w:val="CommentText"/>
    <w:semiHidden/>
    <w:rsid w:val="002D4F1D"/>
    <w:rPr>
      <w:sz w:val="20"/>
      <w:szCs w:val="20"/>
      <w:lang w:eastAsia="en-US" w:bidi="ar-SA"/>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qFormat/>
    <w:rsid w:val="002D4F1D"/>
    <w:pPr>
      <w:spacing w:after="160" w:line="240" w:lineRule="exact"/>
    </w:pPr>
    <w:rPr>
      <w:sz w:val="24"/>
      <w:vertAlign w:val="superscript"/>
      <w:lang w:eastAsia="en-GB" w:bidi="en-GB"/>
    </w:rPr>
  </w:style>
  <w:style w:type="paragraph" w:styleId="ListParagraph">
    <w:name w:val="List Paragraph"/>
    <w:aliases w:val="Fiche List Paragraph,Dot pt,F5 List Paragraph,List Paragraph1,No Spacing1,List Paragraph Char Char Char,Indicator Text,Numbered Para 1,Bullet Points,MAIN CONTENT,List Paragraph12,Bullet 1,OBC Bullet,Colorful List - Accent 11,N,L"/>
    <w:basedOn w:val="Normal"/>
    <w:link w:val="ListParagraphChar"/>
    <w:uiPriority w:val="34"/>
    <w:qFormat/>
    <w:rsid w:val="00E72096"/>
    <w:pPr>
      <w:ind w:left="720"/>
      <w:contextualSpacing/>
    </w:pPr>
  </w:style>
  <w:style w:type="character" w:customStyle="1" w:styleId="ListParagraphChar">
    <w:name w:val="List Paragraph Char"/>
    <w:aliases w:val="Fiche List Paragraph Char,Dot pt Char,F5 List Paragraph Char,List Paragraph1 Char,No Spacing1 Char,List Paragraph Char Char Char Char,Indicator Text Char,Numbered Para 1 Char,Bullet Points Char,MAIN CONTENT Char,List Paragraph12 Char"/>
    <w:basedOn w:val="DefaultParagraphFont"/>
    <w:link w:val="ListParagraph"/>
    <w:uiPriority w:val="34"/>
    <w:qFormat/>
    <w:locked/>
    <w:rsid w:val="00E72096"/>
    <w:rPr>
      <w:lang w:eastAsia="en-US" w:bidi="ar-SA"/>
    </w:rPr>
  </w:style>
  <w:style w:type="table" w:styleId="TableGrid">
    <w:name w:val="Table Grid"/>
    <w:basedOn w:val="TableNormal"/>
    <w:locked/>
    <w:rsid w:val="00FB00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16" Type="http://schemas.openxmlformats.org/officeDocument/2006/relationships/footer" Target="footer3.xml"/><Relationship Id="rId20" Type="http://schemas.openxmlformats.org/officeDocument/2006/relationships/theme" Target="theme/theme1.xml"/><Relationship Id="rId29"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32"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footer" Target="footer2.xm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ntTable" Target="fontTable.xml"/><Relationship Id="rId31"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header" Target="header2.xml"/><Relationship Id="rId27" Type="http://schemas.microsoft.com/office/2016/09/relationships/commentsIds" Target="commentsIds.xml"/><Relationship Id="rId30"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SV/TXT/?uri=uriserv%3AOJ.C_.2021.286.01.0008.01.SWE&amp;toc=OJ%3AC%3A2021%3A286%3ATOC" TargetMode="External"/><Relationship Id="rId1" Type="http://schemas.openxmlformats.org/officeDocument/2006/relationships/hyperlink" Target="https://eur-lex.europa.eu/legal-content/SV/TXT/?uri=OJ:C:2018:440:TOC" TargetMode="External"/></Relationships>
</file>

<file path=word/_rels/settings.xml.rels>&#65279;<?xml version="1.0" encoding="utf-8"?><Relationships xmlns="http://schemas.openxmlformats.org/package/2006/relationships"><Relationship Type="http://schemas.openxmlformats.org/officeDocument/2006/relationships/attachedTemplate" Target="Normal.dotm" TargetMode="External" Id="relationI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C3D2D1EF63C7B4BA734CC92C084744E" ma:contentTypeVersion="5" ma:contentTypeDescription="Defines the documents for Document Manager V2" ma:contentTypeScope="" ma:versionID="8b7b4f8c6f2d5555127880b46a91b816">
  <xsd:schema xmlns:xsd="http://www.w3.org/2001/XMLSchema" xmlns:xs="http://www.w3.org/2001/XMLSchema" xmlns:p="http://schemas.microsoft.com/office/2006/metadata/properties" xmlns:ns2="01cfe264-354f-4f3f-acd0-cf26eb309336" xmlns:ns3="http://schemas.microsoft.com/sharepoint/v3/fields" xmlns:ns4="41556846-9ee7-457c-85d1-9e13f59df375" targetNamespace="http://schemas.microsoft.com/office/2006/metadata/properties" ma:root="true" ma:fieldsID="b80fb9c4ac9e4accf0efcf3bf43879d3" ns2:_="" ns3:_="" ns4:_="">
    <xsd:import namespace="01cfe264-354f-4f3f-acd0-cf26eb309336"/>
    <xsd:import namespace="http://schemas.microsoft.com/sharepoint/v3/fields"/>
    <xsd:import namespace="41556846-9ee7-457c-85d1-9e13f59df37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cfe264-354f-4f3f-acd0-cf26eb3093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665b0d5d-45cf-4270-be2c-76ae3bd91060}" ma:internalName="TaxCatchAll" ma:showField="CatchAllData"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665b0d5d-45cf-4270-be2c-76ae3bd91060}" ma:internalName="TaxCatchAllLabel" ma:readOnly="true" ma:showField="CatchAllDataLabel"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1556846-9ee7-457c-85d1-9e13f59df37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1cfe264-354f-4f3f-acd0-cf26eb309336">V63NAVDT5PV3-2031897445-8414</_dlc_DocId>
    <_dlc_DocIdUrl xmlns="01cfe264-354f-4f3f-acd0-cf26eb309336">
      <Url>http://dm2016/eesc/2021/_layouts/15/DocIdRedir.aspx?ID=V63NAVDT5PV3-2031897445-8414</Url>
      <Description>V63NAVDT5PV3-2031897445-8414</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01cfe264-354f-4f3f-acd0-cf26eb309336"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01cfe264-354f-4f3f-acd0-cf26eb309336">2021-07-28T12:00:00+00:00</ProductionDate>
    <DocumentNumber xmlns="41556846-9ee7-457c-85d1-9e13f59df375">1530</DocumentNumber>
    <FicheYear xmlns="01cfe264-354f-4f3f-acd0-cf26eb309336" xsi:nil="true"/>
    <DocumentVersion xmlns="01cfe264-354f-4f3f-acd0-cf26eb309336">1</DocumentVersion>
    <DossierNumber xmlns="01cfe264-354f-4f3f-acd0-cf26eb309336">933</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1cfe264-354f-4f3f-acd0-cf26eb309336" xsi:nil="true"/>
    <TaxCatchAll xmlns="01cfe264-354f-4f3f-acd0-cf26eb309336">
      <Value>86</Value>
      <Value>66</Value>
      <Value>58</Value>
      <Value>45</Value>
      <Value>42</Value>
      <Value>41</Value>
      <Value>40</Value>
      <Value>39</Value>
      <Value>38</Value>
      <Value>37</Value>
      <Value>35</Value>
      <Value>31</Value>
      <Value>28</Value>
      <Value>25</Value>
      <Value>21</Value>
      <Value>19</Value>
      <Value>18</Value>
      <Value>17</Value>
      <Value>16</Value>
      <Value>15</Value>
      <Value>14</Value>
      <Value>13</Value>
      <Value>12</Value>
      <Value>11</Value>
      <Value>9</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SV</TermName>
          <TermId xmlns="http://schemas.microsoft.com/office/infopath/2007/PartnerControls">c2ed69e7-a339-43d7-8f22-d93680a92aa0</TermId>
        </TermInfo>
      </Terms>
    </DocumentLanguage_0>
    <Rapporteur xmlns="01cfe264-354f-4f3f-acd0-cf26eb309336">LOBO XAVIER</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01cfe264-354f-4f3f-acd0-cf26eb309336">2021</DocumentYear>
    <FicheNumber xmlns="01cfe264-354f-4f3f-acd0-cf26eb309336">9901</FicheNumber>
    <OriginalSender xmlns="01cfe264-354f-4f3f-acd0-cf26eb309336">
      <UserInfo>
        <DisplayName>Pallvid Maria</DisplayName>
        <AccountId>1990</AccountId>
        <AccountType/>
      </UserInfo>
    </OriginalSender>
    <DocumentPart xmlns="01cfe264-354f-4f3f-acd0-cf26eb309336">0</DocumentPart>
    <AdoptionDate xmlns="01cfe264-354f-4f3f-acd0-cf26eb309336">2021-07-07T12:00:00+00:00</AdoptionDate>
    <RequestingService xmlns="01cfe264-354f-4f3f-acd0-cf26eb309336">Marché unique, production, consommation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1556846-9ee7-457c-85d1-9e13f59df375"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INT</TermName>
          <TermId xmlns="http://schemas.microsoft.com/office/infopath/2007/PartnerControls">e1edfecb-ed43-427b-bb02-d45fe6645386</TermId>
        </TermInfo>
      </Terms>
    </DossierName_0>
  </documentManagement>
</p:properties>
</file>

<file path=customXml/itemProps1.xml><?xml version="1.0" encoding="utf-8"?>
<ds:datastoreItem xmlns:ds="http://schemas.openxmlformats.org/officeDocument/2006/customXml" ds:itemID="{038A107C-D2BC-4734-A3AE-1C2916601E22}"/>
</file>

<file path=customXml/itemProps2.xml><?xml version="1.0" encoding="utf-8"?>
<ds:datastoreItem xmlns:ds="http://schemas.openxmlformats.org/officeDocument/2006/customXml" ds:itemID="{75433457-A954-4648-B5B3-CD92DB8B1965}"/>
</file>

<file path=customXml/itemProps3.xml><?xml version="1.0" encoding="utf-8"?>
<ds:datastoreItem xmlns:ds="http://schemas.openxmlformats.org/officeDocument/2006/customXml" ds:itemID="{566AB765-0D54-4FFD-86E7-86E472256BC2}"/>
</file>

<file path=customXml/itemProps4.xml><?xml version="1.0" encoding="utf-8"?>
<ds:datastoreItem xmlns:ds="http://schemas.openxmlformats.org/officeDocument/2006/customXml" ds:itemID="{F0877007-0BC4-4E34-918A-9C9C094DEC1F}"/>
</file>

<file path=docProps/app.xml><?xml version="1.0" encoding="utf-8"?>
<Properties xmlns="http://schemas.openxmlformats.org/officeDocument/2006/extended-properties" xmlns:vt="http://schemas.openxmlformats.org/officeDocument/2006/docPropsVTypes">
  <Template>Normal</Template>
  <TotalTime>10</TotalTime>
  <Pages>9</Pages>
  <Words>3024</Words>
  <Characters>18307</Characters>
  <Application>Microsoft Office Word</Application>
  <DocSecurity>0</DocSecurity>
  <Lines>152</Lines>
  <Paragraphs>42</Paragraphs>
  <ScaleCrop>false</ScaleCrop>
  <HeadingPairs>
    <vt:vector size="6" baseType="variant">
      <vt:variant>
        <vt:lpstr>Title</vt:lpstr>
      </vt:variant>
      <vt:variant>
        <vt:i4>1</vt:i4>
      </vt:variant>
      <vt:variant>
        <vt:lpstr>Título</vt:lpstr>
      </vt:variant>
      <vt:variant>
        <vt:i4>1</vt:i4>
      </vt:variant>
      <vt:variant>
        <vt:lpstr>Titlu</vt:lpstr>
      </vt:variant>
      <vt:variant>
        <vt:i4>1</vt:i4>
      </vt:variant>
    </vt:vector>
  </HeadingPairs>
  <TitlesOfParts>
    <vt:vector size="3" baseType="lpstr">
      <vt:lpstr>Digitala mål för 2030</vt:lpstr>
      <vt:lpstr>2030 Digital Targets</vt:lpstr>
      <vt:lpstr>European Agenda on Migration: Second implementation package - A permanent crisis relocation mechanism under the Dublin system</vt:lpstr>
    </vt:vector>
  </TitlesOfParts>
  <Company>CESE-CdR</Company>
  <LinksUpToDate>false</LinksUpToDate>
  <CharactersWithSpaces>21289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Digitala mål för 2030</dc:title>
  <dc:subject>AC</dc:subject>
  <dc:creator>Tomas Vocasek</dc:creator>
  <cp:keywords>EESC-2021-01530-00-01-AC-TRA-EN</cp:keywords>
  <dc:description>Rapporteur: LOBO XAVIER - Original language: EN - Date of document: 28/07/2021 - Date of meeting:  - External documents: COM(2021)118-final - Administrator: MME TETU Alice</dc:description>
  <cp:lastModifiedBy>Pallvid Maria</cp:lastModifiedBy>
  <cp:revision>6</cp:revision>
  <cp:lastPrinted>2016-01-26T08:31:00Z</cp:lastPrinted>
  <dcterms:created xsi:type="dcterms:W3CDTF">2021-07-28T14:40:00Z</dcterms:created>
  <dcterms:modified xsi:type="dcterms:W3CDTF">2021-07-28T14:51:00Z</dcterms:modified>
  <cp:category>INT/933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09/07/2021, 16/06/2021, 16/06/2021, 08/06/2021, 28/05/2021, 04/11/2015, 27/10/2015, 19/10/2015, 09/10/2015, 05/10/2015, 05/10/2015, 26/08/2015, 26/08/2015, 25/08/2015</vt:lpwstr>
  </property>
  <property fmtid="{D5CDD505-2E9C-101B-9397-08002B2CF9AE}" pid="4" name="Pref_Time">
    <vt:lpwstr>10:38:18, 12:08:45, 11:50:43, 11:23:42, 11:01:38, 12/10/07, 14:44:02, 16/04/16, 14:09:30, 16:24:55, 16:04:02, 08:56:14, 07:27:56, 17:31:53</vt:lpwstr>
  </property>
  <property fmtid="{D5CDD505-2E9C-101B-9397-08002B2CF9AE}" pid="5" name="Pref_User">
    <vt:lpwstr>hnic, hnic, YMUR, amett, hnic, ssex, enied, amett, tvoc, mreg, mreg, amett, enied, ssex</vt:lpwstr>
  </property>
  <property fmtid="{D5CDD505-2E9C-101B-9397-08002B2CF9AE}" pid="6" name="Pref_FileName">
    <vt:lpwstr>EESC-2021-01530-00-00-AC-ORI.docx, EESC-2021-01530-00-00-AS-TRA-EN-CRR.docx, EESC-2021-01530-00-00-AS-CRR-EN.docx, EESC-2021-01530-00-01-PA-ORI.docx, EESC-2021-01530-00-00-PA-ORI.docx, EESC-2015-05408-00-00-PA-CRR-EN.docx, EESC-2015-05408-00-01-APA-ORI.do</vt:lpwstr>
  </property>
  <property fmtid="{D5CDD505-2E9C-101B-9397-08002B2CF9AE}" pid="7" name="ContentTypeId">
    <vt:lpwstr>0x010100EA97B91038054C99906057A708A1480A00BC3D2D1EF63C7B4BA734CC92C084744E</vt:lpwstr>
  </property>
  <property fmtid="{D5CDD505-2E9C-101B-9397-08002B2CF9AE}" pid="8" name="_dlc_DocIdItemGuid">
    <vt:lpwstr>34db1b94-3c7f-4c10-908e-a1eeb6fe720d</vt:lpwstr>
  </property>
  <property fmtid="{D5CDD505-2E9C-101B-9397-08002B2CF9AE}" pid="9" name="AvailableTranslations">
    <vt:lpwstr>12;#DA|5d49c027-8956-412b-aa16-e85a0f96ad0e;#66;#GA|762d2456-c427-4ecb-b312-af3dad8e258c;#13;#PT|50ccc04a-eadd-42ae-a0cb-acaf45f812ba;#15;#LT|a7ff5ce7-6123-4f68-865a-a57c31810414;#11;#DE|f6b31e5a-26fa-4935-b661-318e46daf27e;#35;#PL|1e03da61-4678-4e07-b136-b5024ca9197b;#39;#SL|98a412ae-eb01-49e9-ae3d-585a81724cfc;#37;#EL|6d4f4d51-af9b-4650-94b4-4276bee85c91;#25;#CS|72f9705b-0217-4fd3-bea2-cbc7ed80e26e;#45;#RO|feb747a2-64cd-4299-af12-4833ddc30497;#4;#FR|d2afafd3-4c81-4f60-8f52-ee33f2f54ff3;#41;#BG|1a1b3951-7821-4e6a-85f5-5673fc08bd2c;#18;#LV|46f7e311-5d9f-4663-b433-18aeccb7ace7;#42;#FI|87606a43-d45f-42d6-b8c9-e1a3457db5b7;#40;#SV|c2ed69e7-a339-43d7-8f22-d93680a92aa0;#38;#HR|2f555653-ed1a-4fe6-8362-9082d95989e5;#16;#IT|0774613c-01ed-4e5d-a25d-11d2388de825;#14;#ET|ff6c3f4c-b02c-4c3c-ab07-2c37995a7a0a;#21;#HU|6b229040-c589-4408-b4c1-4285663d20a8;#58;#MT|7df99101-6854-4a26-b53a-b88c0da02c26;#28;#ES|e7a6b05b-ae16-40c8-add9-68b64b03aeba;#9;#EN|f2175f21-25d7-44a3-96da-d6a61b075e1b;#19;#SK|46d9fce0-ef79-4f71-b89b-cd6aa82426b8;#17;#NL|55c6556c-b4f4-441d-9acf-c498d4f838bd</vt:lpwstr>
  </property>
  <property fmtid="{D5CDD505-2E9C-101B-9397-08002B2CF9AE}" pid="10" name="DocumentType_0">
    <vt:lpwstr>AC|a4cc1d15-fb08-4679-ad46-e4e0cba5fe92</vt:lpwstr>
  </property>
  <property fmtid="{D5CDD505-2E9C-101B-9397-08002B2CF9AE}" pid="11" name="DossierName_0">
    <vt:lpwstr>INT|e1edfecb-ed43-427b-bb02-d45fe6645386</vt:lpwstr>
  </property>
  <property fmtid="{D5CDD505-2E9C-101B-9397-08002B2CF9AE}" pid="12" name="DocumentSource_0">
    <vt:lpwstr>EESC|422833ec-8d7e-4e65-8e4e-8bed07ffb729</vt:lpwstr>
  </property>
  <property fmtid="{D5CDD505-2E9C-101B-9397-08002B2CF9AE}" pid="13" name="DocumentNumber">
    <vt:i4>1530</vt:i4>
  </property>
  <property fmtid="{D5CDD505-2E9C-101B-9397-08002B2CF9AE}" pid="14" name="DocumentVersion">
    <vt:i4>1</vt:i4>
  </property>
  <property fmtid="{D5CDD505-2E9C-101B-9397-08002B2CF9AE}" pid="15" name="DossierNumber">
    <vt:i4>933</vt:i4>
  </property>
  <property fmtid="{D5CDD505-2E9C-101B-9397-08002B2CF9AE}" pid="16" name="DocumentStatus">
    <vt:lpwstr>7;#TRA|150d2a88-1431-44e6-a8ca-0bb753ab8672</vt:lpwstr>
  </property>
  <property fmtid="{D5CDD505-2E9C-101B-9397-08002B2CF9AE}" pid="17" name="DocumentPart">
    <vt:i4>0</vt:i4>
  </property>
  <property fmtid="{D5CDD505-2E9C-101B-9397-08002B2CF9AE}" pid="18" name="DossierName">
    <vt:lpwstr>31;#INT|e1edfecb-ed43-427b-bb02-d45fe6645386</vt:lpwstr>
  </property>
  <property fmtid="{D5CDD505-2E9C-101B-9397-08002B2CF9AE}" pid="19" name="DocumentSource">
    <vt:lpwstr>1;#EESC|422833ec-8d7e-4e65-8e4e-8bed07ffb729</vt:lpwstr>
  </property>
  <property fmtid="{D5CDD505-2E9C-101B-9397-08002B2CF9AE}" pid="20" name="AdoptionDate">
    <vt:filetime>2021-07-07T12:00:00Z</vt:filetime>
  </property>
  <property fmtid="{D5CDD505-2E9C-101B-9397-08002B2CF9AE}" pid="21" name="DocumentType">
    <vt:lpwstr>86;#AC|a4cc1d15-fb08-4679-ad46-e4e0cba5fe92</vt:lpwstr>
  </property>
  <property fmtid="{D5CDD505-2E9C-101B-9397-08002B2CF9AE}" pid="22" name="RequestingService">
    <vt:lpwstr>Marché unique, production, consommation</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9;#EN|f2175f21-25d7-44a3-96da-d6a61b075e1b</vt:lpwstr>
  </property>
  <property fmtid="{D5CDD505-2E9C-101B-9397-08002B2CF9AE}" pid="27" name="MeetingName">
    <vt:lpwstr/>
  </property>
  <property fmtid="{D5CDD505-2E9C-101B-9397-08002B2CF9AE}" pid="29" name="AvailableTranslations_0">
    <vt:lpwstr>PT|50ccc04a-eadd-42ae-a0cb-acaf45f812ba;EL|6d4f4d51-af9b-4650-94b4-4276bee85c91;EN|f2175f21-25d7-44a3-96da-d6a61b075e1b</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86;#AC|a4cc1d15-fb08-4679-ad46-e4e0cba5fe92;#31;#INT|e1edfecb-ed43-427b-bb02-d45fe6645386;#13;#PT|50ccc04a-eadd-42ae-a0cb-acaf45f812ba;#9;#EN|f2175f21-25d7-44a3-96da-d6a61b075e1b;#7;#TRA|150d2a88-1431-44e6-a8ca-0bb753ab8672;#6;#Final|ea5e6674-7b27-4bac-b091-73adbb394efe;#5;#Unrestricted|826e22d7-d029-4ec0-a450-0c28ff673572;#37;#EL|6d4f4d51-af9b-4650-94b4-4276bee85c91;#1;#EESC|422833ec-8d7e-4e65-8e4e-8bed07ffb729</vt:lpwstr>
  </property>
  <property fmtid="{D5CDD505-2E9C-101B-9397-08002B2CF9AE}" pid="33" name="Rapporteur">
    <vt:lpwstr>LOBO XAVIER</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2021</vt:i4>
  </property>
  <property fmtid="{D5CDD505-2E9C-101B-9397-08002B2CF9AE}" pid="37" name="FicheNumber">
    <vt:i4>9901</vt:i4>
  </property>
  <property fmtid="{D5CDD505-2E9C-101B-9397-08002B2CF9AE}" pid="38" name="DocumentLanguage">
    <vt:lpwstr>40;#SV|c2ed69e7-a339-43d7-8f22-d93680a92aa0</vt:lpwstr>
  </property>
  <property fmtid="{D5CDD505-2E9C-101B-9397-08002B2CF9AE}" pid="39" name="_docset_NoMedatataSyncRequired">
    <vt:lpwstr>False</vt:lpwstr>
  </property>
</Properties>
</file>