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6.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F1254E" w:rsidR="00646AC2" w:rsidP="00D60899" w:rsidRDefault="006E5F8B" w14:paraId="6E5229C9" w14:textId="69CF99FF">
      <w:pPr>
        <w:overflowPunct/>
        <w:adjustRightInd/>
        <w:jc w:val="center"/>
        <w:textAlignment w:val="auto"/>
      </w:pPr>
      <w:bookmarkStart w:name="_GoBack" w:id="0"/>
      <w:bookmarkEnd w:id="0"/>
      <w:r>
        <w:rPr>
          <w:noProof/>
          <w:lang w:val="en-US"/>
        </w:rPr>
        <w:drawing>
          <wp:inline distT="0" distB="0" distL="0" distR="0" wp14:anchorId="339A5561" wp14:editId="5AEF118C">
            <wp:extent cx="1792605" cy="1239520"/>
            <wp:effectExtent l="0" t="0" r="0" b="0"/>
            <wp:docPr id="1" name="Picture 1" title="EESCLogo_CS"/>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3E0EB4">
        <w:rPr>
          <w:noProof/>
          <w:sz w:val="20"/>
          <w:lang w:val="en-US"/>
        </w:rPr>
        <mc:AlternateContent>
          <mc:Choice Requires="wps">
            <w:drawing>
              <wp:anchor distT="0" distB="0" distL="114300" distR="114300" simplePos="0" relativeHeight="251659264" behindDoc="1" locked="0" layoutInCell="0" allowOverlap="1" wp14:editId="5C53C013" wp14:anchorId="572791BF">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20597F" w:rsidRDefault="0020597F" w14:paraId="3F07E995" w14:textId="77777777">
                            <w:pPr>
                              <w:jc w:val="center"/>
                              <w:rPr>
                                <w:rFonts w:ascii="Arial" w:hAnsi="Arial" w:cs="Arial"/>
                                <w:b/>
                                <w:bCs/>
                                <w:sz w:val="48"/>
                              </w:rPr>
                            </w:pPr>
                            <w:r>
                              <w:rPr>
                                <w:rFonts w:ascii="Arial" w:hAnsi="Arial"/>
                                <w:b/>
                                <w:bCs/>
                                <w:sz w:val="48"/>
                              </w:rPr>
                              <w:t>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572791BF">
                <v:stroke joinstyle="miter"/>
                <v:path gradientshapeok="t" o:connecttype="rect"/>
              </v:shapetype>
              <v:shape id="Text Box 17"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20597F" w:rsidRDefault="0020597F" w14:paraId="3F07E995" w14:textId="77777777">
                      <w:pPr>
                        <w:jc w:val="center"/>
                        <w:rPr>
                          <w:rFonts w:ascii="Arial" w:hAnsi="Arial" w:cs="Arial"/>
                          <w:b/>
                          <w:bCs/>
                          <w:sz w:val="48"/>
                        </w:rPr>
                      </w:pPr>
                      <w:r>
                        <w:rPr>
                          <w:rFonts w:ascii="Arial" w:hAnsi="Arial"/>
                          <w:b/>
                          <w:bCs/>
                          <w:sz w:val="48"/>
                        </w:rPr>
                        <w:t>CS</w:t>
                      </w:r>
                    </w:p>
                  </w:txbxContent>
                </v:textbox>
                <w10:wrap anchorx="page" anchory="page"/>
              </v:shape>
            </w:pict>
          </mc:Fallback>
        </mc:AlternateContent>
      </w:r>
    </w:p>
    <w:p w:rsidRPr="00F1254E" w:rsidR="003E0EB4" w:rsidP="00D60899" w:rsidRDefault="003E0EB4" w14:paraId="058B9A77" w14:textId="77777777">
      <w:pPr>
        <w:overflowPunct/>
        <w:adjustRightInd/>
        <w:jc w:val="left"/>
        <w:textAlignment w:val="auto"/>
      </w:pPr>
    </w:p>
    <w:p w:rsidRPr="00F1254E" w:rsidR="00646AC2" w:rsidP="00D60899" w:rsidRDefault="0011770F" w14:paraId="6E5229CA" w14:textId="0C2785F6">
      <w:pPr>
        <w:overflowPunct/>
        <w:adjustRightInd/>
        <w:jc w:val="right"/>
        <w:textAlignment w:val="auto"/>
      </w:pPr>
      <w:r>
        <w:rPr>
          <w:b/>
        </w:rPr>
        <w:t>SOC/683</w:t>
      </w:r>
    </w:p>
    <w:p w:rsidRPr="00F1254E" w:rsidR="00563C84" w:rsidP="00D60899" w:rsidRDefault="0011770F" w14:paraId="6E5229CB" w14:textId="6C8E4872">
      <w:pPr>
        <w:overflowPunct/>
        <w:adjustRightInd/>
        <w:jc w:val="right"/>
        <w:textAlignment w:val="auto"/>
      </w:pPr>
      <w:r>
        <w:rPr>
          <w:b/>
        </w:rPr>
        <w:t>Digitální zelený certifikát</w:t>
      </w:r>
    </w:p>
    <w:p w:rsidRPr="00F1254E" w:rsidR="009B30AA" w:rsidP="00D60899" w:rsidRDefault="009B30AA" w14:paraId="6E5229CC" w14:textId="77777777">
      <w:pPr>
        <w:overflowPunct/>
        <w:adjustRightInd/>
        <w:textAlignment w:val="auto"/>
      </w:pPr>
    </w:p>
    <w:p w:rsidRPr="00F1254E" w:rsidR="009B30AA" w:rsidP="00D60899" w:rsidRDefault="009B30AA" w14:paraId="6E5229CD" w14:textId="77777777">
      <w:pPr>
        <w:overflowPunct/>
        <w:adjustRightInd/>
        <w:textAlignment w:val="auto"/>
      </w:pPr>
    </w:p>
    <w:p w:rsidRPr="00F1254E" w:rsidR="00646AC2" w:rsidP="00D60899" w:rsidRDefault="008C3049" w14:paraId="6E5229CE" w14:textId="57644DBB">
      <w:pPr>
        <w:overflowPunct/>
        <w:adjustRightInd/>
        <w:jc w:val="center"/>
        <w:textAlignment w:val="auto"/>
      </w:pPr>
      <w:r>
        <w:rPr>
          <w:b/>
          <w:sz w:val="28"/>
        </w:rPr>
        <w:t>NÁVRH STANOVISKA</w:t>
      </w:r>
      <w:r>
        <w:rPr>
          <w:b/>
          <w:sz w:val="28"/>
        </w:rPr>
        <w:br/>
      </w:r>
      <w:r>
        <w:rPr>
          <w:b/>
        </w:rPr>
        <w:br/>
      </w:r>
      <w:r>
        <w:t>Evropského hospodářského a sociálního výboru</w:t>
      </w:r>
      <w:r>
        <w:br/>
      </w:r>
      <w:r>
        <w:rPr>
          <w:b/>
        </w:rPr>
        <w:br/>
        <w:t>Návrh nařízení Evropského parlamentu a Rady o rámci pro vydávání, ověřování a uznávání interoperabilních certifikátů o očkování, testování a uzdravení za účelem usnadnění volného pohybu během pandemie COVID-19 (digitální zelený certifikát)</w:t>
      </w:r>
      <w:r>
        <w:rPr>
          <w:b/>
        </w:rPr>
        <w:br/>
      </w:r>
      <w:r>
        <w:t>[COM(2021) 130 final – 2021/0068 (COD)]</w:t>
      </w:r>
    </w:p>
    <w:p w:rsidRPr="00F1254E" w:rsidR="009B30AA" w:rsidP="00D60899" w:rsidRDefault="009B30AA" w14:paraId="6E5229CF" w14:textId="77777777">
      <w:pPr>
        <w:overflowPunct/>
        <w:adjustRightInd/>
        <w:jc w:val="center"/>
        <w:textAlignment w:val="auto"/>
      </w:pPr>
    </w:p>
    <w:tbl>
      <w:tblPr>
        <w:tblpPr w:leftFromText="181" w:rightFromText="181" w:tblpYSpec="bottom"/>
        <w:tblOverlap w:val="never"/>
        <w:tblW w:w="9289" w:type="dxa"/>
        <w:tblLayout w:type="fixed"/>
        <w:tblLook w:val="04A0" w:firstRow="1" w:lastRow="0" w:firstColumn="1" w:lastColumn="0" w:noHBand="0" w:noVBand="1"/>
      </w:tblPr>
      <w:tblGrid>
        <w:gridCol w:w="3085"/>
        <w:gridCol w:w="6204"/>
      </w:tblGrid>
      <w:tr w:rsidRPr="00F1254E" w:rsidR="007F5E0D" w:rsidTr="00A86DEB" w14:paraId="6E5229DC" w14:textId="77777777">
        <w:tc>
          <w:tcPr>
            <w:tcW w:w="3085" w:type="dxa"/>
          </w:tcPr>
          <w:p w:rsidRPr="00F1254E" w:rsidR="007F5E0D" w:rsidP="00D60899" w:rsidRDefault="007F5E0D" w14:paraId="6E5229DA" w14:textId="78190028">
            <w:pPr>
              <w:overflowPunct/>
              <w:adjustRightInd/>
              <w:jc w:val="left"/>
              <w:textAlignment w:val="auto"/>
              <w:rPr>
                <w:szCs w:val="22"/>
              </w:rPr>
            </w:pPr>
            <w:r>
              <w:t>Administrátorka</w:t>
            </w:r>
          </w:p>
        </w:tc>
        <w:tc>
          <w:tcPr>
            <w:tcW w:w="6204" w:type="dxa"/>
          </w:tcPr>
          <w:p w:rsidRPr="00F1254E" w:rsidR="007F5E0D" w:rsidP="00D60899" w:rsidRDefault="00A16C15" w14:paraId="6E5229DB" w14:textId="486F556E">
            <w:pPr>
              <w:overflowPunct/>
              <w:adjustRightInd/>
              <w:jc w:val="left"/>
              <w:textAlignment w:val="auto"/>
              <w:rPr>
                <w:szCs w:val="22"/>
              </w:rPr>
            </w:pPr>
            <w:r>
              <w:t xml:space="preserve">Triin </w:t>
            </w:r>
            <w:r w:rsidR="00BF5BD6">
              <w:t>AASMAA</w:t>
            </w:r>
          </w:p>
        </w:tc>
      </w:tr>
      <w:tr w:rsidRPr="00F1254E" w:rsidR="007F5E0D" w:rsidTr="00A86DEB" w14:paraId="6E5229DF" w14:textId="77777777">
        <w:tc>
          <w:tcPr>
            <w:tcW w:w="3085" w:type="dxa"/>
          </w:tcPr>
          <w:p w:rsidRPr="00F1254E" w:rsidR="007F5E0D" w:rsidP="00D60899" w:rsidRDefault="007F5E0D" w14:paraId="6E5229DD" w14:textId="4E094867">
            <w:pPr>
              <w:overflowPunct/>
              <w:adjustRightInd/>
              <w:jc w:val="left"/>
              <w:textAlignment w:val="auto"/>
              <w:rPr>
                <w:szCs w:val="22"/>
              </w:rPr>
            </w:pPr>
            <w:r>
              <w:t>Datum dokumentu</w:t>
            </w:r>
          </w:p>
        </w:tc>
        <w:tc>
          <w:tcPr>
            <w:tcW w:w="6204" w:type="dxa"/>
          </w:tcPr>
          <w:p w:rsidRPr="00F1254E" w:rsidR="007F5E0D" w:rsidP="00D60899" w:rsidRDefault="00BF5BD6" w14:paraId="6E5229DE" w14:textId="7BFAB1B2">
            <w:pPr>
              <w:overflowPunct/>
              <w:adjustRightInd/>
              <w:jc w:val="left"/>
              <w:textAlignment w:val="auto"/>
              <w:rPr>
                <w:szCs w:val="22"/>
              </w:rPr>
            </w:pPr>
            <w:r>
              <w:t>19</w:t>
            </w:r>
            <w:r w:rsidR="00211176">
              <w:t>/04/2021</w:t>
            </w:r>
          </w:p>
        </w:tc>
      </w:tr>
    </w:tbl>
    <w:p w:rsidRPr="00F1254E" w:rsidR="00704FBB" w:rsidP="00D60899" w:rsidRDefault="007F5E0D" w14:paraId="6E5229E0" w14:textId="7E4AF2A4">
      <w:pPr>
        <w:overflowPunct/>
        <w:adjustRightInd/>
        <w:jc w:val="center"/>
        <w:textAlignment w:val="auto"/>
      </w:pPr>
      <w:r>
        <w:t xml:space="preserve">Hlavní zpravodaj: </w:t>
      </w:r>
      <w:r>
        <w:rPr>
          <w:b/>
        </w:rPr>
        <w:t>George VERNICOS</w:t>
      </w:r>
    </w:p>
    <w:p w:rsidRPr="00F1254E" w:rsidR="00704FBB" w:rsidP="00D60899" w:rsidRDefault="00704FBB" w14:paraId="6E5229E1" w14:textId="77777777">
      <w:pPr>
        <w:overflowPunct/>
        <w:adjustRightInd/>
        <w:jc w:val="left"/>
        <w:textAlignment w:val="auto"/>
      </w:pPr>
    </w:p>
    <w:p w:rsidRPr="00F1254E" w:rsidR="00646AC2" w:rsidP="00D60899" w:rsidRDefault="00646AC2" w14:paraId="6E5229E2" w14:textId="77777777">
      <w:pPr>
        <w:overflowPunct/>
        <w:adjustRightInd/>
        <w:textAlignment w:val="auto"/>
      </w:pPr>
    </w:p>
    <w:p w:rsidRPr="00F1254E" w:rsidR="00646AC2" w:rsidP="00D60899" w:rsidRDefault="00646AC2" w14:paraId="6E5229E3" w14:textId="77777777">
      <w:pPr>
        <w:overflowPunct/>
        <w:adjustRightInd/>
        <w:textAlignment w:val="auto"/>
        <w:sectPr w:rsidRPr="00F1254E" w:rsidR="00646AC2" w:rsidSect="00D60899">
          <w:headerReference w:type="even" r:id="rId13"/>
          <w:headerReference w:type="default" r:id="rId14"/>
          <w:footerReference w:type="even" r:id="rId15"/>
          <w:footerReference w:type="default" r:id="rId16"/>
          <w:headerReference w:type="first" r:id="rId17"/>
          <w:footerReference w:type="first" r:id="rId18"/>
          <w:pgSz w:w="11907" w:h="16839" w:code="9"/>
          <w:pgMar w:top="1418" w:right="1418" w:bottom="1418" w:left="1418" w:header="709" w:footer="709" w:gutter="0"/>
          <w:pgNumType w:start="1"/>
          <w:cols w:space="720"/>
          <w:docGrid w:linePitch="299"/>
        </w:sectPr>
      </w:pPr>
    </w:p>
    <w:tbl>
      <w:tblPr>
        <w:tblW w:w="0" w:type="auto"/>
        <w:tblLook w:val="04A0" w:firstRow="1" w:lastRow="0" w:firstColumn="1" w:lastColumn="0" w:noHBand="0" w:noVBand="1"/>
      </w:tblPr>
      <w:tblGrid>
        <w:gridCol w:w="3402"/>
        <w:gridCol w:w="5671"/>
      </w:tblGrid>
      <w:tr w:rsidRPr="00F1254E" w:rsidR="0011656A" w:rsidTr="00D60899" w14:paraId="6E522A03" w14:textId="77777777">
        <w:tc>
          <w:tcPr>
            <w:tcW w:w="3402" w:type="dxa"/>
          </w:tcPr>
          <w:p w:rsidRPr="00F1254E" w:rsidR="0011656A" w:rsidP="00D60899" w:rsidRDefault="00955A4A" w14:paraId="6E522A01" w14:textId="5C011C6A">
            <w:pPr>
              <w:overflowPunct/>
              <w:adjustRightInd/>
              <w:jc w:val="left"/>
              <w:textAlignment w:val="auto"/>
              <w:rPr>
                <w:szCs w:val="22"/>
              </w:rPr>
            </w:pPr>
            <w:r>
              <w:lastRenderedPageBreak/>
              <w:t>Žádost o vypracování stanoviska</w:t>
            </w:r>
          </w:p>
        </w:tc>
        <w:tc>
          <w:tcPr>
            <w:tcW w:w="5671" w:type="dxa"/>
          </w:tcPr>
          <w:p w:rsidRPr="00F1254E" w:rsidR="0011656A" w:rsidP="00D60899" w:rsidRDefault="00E21AC3" w14:paraId="6E522A02" w14:textId="747E0749">
            <w:pPr>
              <w:overflowPunct/>
              <w:adjustRightInd/>
              <w:jc w:val="left"/>
              <w:textAlignment w:val="auto"/>
              <w:rPr>
                <w:szCs w:val="22"/>
              </w:rPr>
            </w:pPr>
            <w:r>
              <w:t>…, DD/MM/YYYY</w:t>
            </w:r>
          </w:p>
        </w:tc>
      </w:tr>
      <w:tr w:rsidRPr="00F1254E" w:rsidR="0016503F" w:rsidTr="00D60899" w14:paraId="6E522A06" w14:textId="77777777">
        <w:trPr>
          <w:trHeight w:val="251"/>
        </w:trPr>
        <w:tc>
          <w:tcPr>
            <w:tcW w:w="3402" w:type="dxa"/>
          </w:tcPr>
          <w:p w:rsidRPr="00F1254E" w:rsidR="0016503F" w:rsidP="00D60899" w:rsidRDefault="0016503F" w14:paraId="6E522A04" w14:textId="77777777">
            <w:pPr>
              <w:overflowPunct/>
              <w:adjustRightInd/>
              <w:jc w:val="left"/>
              <w:textAlignment w:val="auto"/>
              <w:rPr>
                <w:szCs w:val="22"/>
              </w:rPr>
            </w:pPr>
            <w:r>
              <w:t>Právní základ</w:t>
            </w:r>
          </w:p>
        </w:tc>
        <w:tc>
          <w:tcPr>
            <w:tcW w:w="5671" w:type="dxa"/>
          </w:tcPr>
          <w:p w:rsidRPr="00F1254E" w:rsidR="0016503F" w:rsidP="00D60899" w:rsidRDefault="0016503F" w14:paraId="6E522A05" w14:textId="12777503">
            <w:pPr>
              <w:overflowPunct/>
              <w:adjustRightInd/>
              <w:jc w:val="left"/>
              <w:textAlignment w:val="auto"/>
              <w:rPr>
                <w:szCs w:val="22"/>
              </w:rPr>
            </w:pPr>
            <w:r>
              <w:t>článek 304 Smlouvy o fungování Evropské unie</w:t>
            </w:r>
          </w:p>
        </w:tc>
      </w:tr>
      <w:tr w:rsidRPr="00F1254E" w:rsidR="0016503F" w:rsidTr="00D60899" w14:paraId="6E522A09" w14:textId="77777777">
        <w:trPr>
          <w:trHeight w:val="250"/>
        </w:trPr>
        <w:tc>
          <w:tcPr>
            <w:tcW w:w="3402" w:type="dxa"/>
          </w:tcPr>
          <w:p w:rsidRPr="00F1254E" w:rsidR="0016503F" w:rsidP="00D60899" w:rsidRDefault="0016503F" w14:paraId="6E522A07" w14:textId="77777777">
            <w:pPr>
              <w:overflowPunct/>
              <w:adjustRightInd/>
              <w:jc w:val="left"/>
              <w:textAlignment w:val="auto"/>
              <w:rPr>
                <w:szCs w:val="22"/>
              </w:rPr>
            </w:pPr>
          </w:p>
        </w:tc>
        <w:tc>
          <w:tcPr>
            <w:tcW w:w="5671" w:type="dxa"/>
          </w:tcPr>
          <w:p w:rsidRPr="00F1254E" w:rsidR="0016503F" w:rsidP="00D60899" w:rsidRDefault="0016503F" w14:paraId="6E522A08" w14:textId="77777777">
            <w:pPr>
              <w:overflowPunct/>
              <w:adjustRightInd/>
              <w:jc w:val="left"/>
              <w:textAlignment w:val="auto"/>
              <w:rPr>
                <w:szCs w:val="22"/>
              </w:rPr>
            </w:pPr>
          </w:p>
        </w:tc>
      </w:tr>
      <w:tr w:rsidRPr="00F1254E" w:rsidR="002C1D46" w:rsidTr="00D60899" w14:paraId="19236FDE" w14:textId="77777777">
        <w:trPr>
          <w:trHeight w:val="250"/>
        </w:trPr>
        <w:tc>
          <w:tcPr>
            <w:tcW w:w="3402" w:type="dxa"/>
          </w:tcPr>
          <w:p w:rsidRPr="00F1254E" w:rsidR="002C1D46" w:rsidP="00D60899" w:rsidRDefault="002C1D46" w14:paraId="740340B2" w14:textId="64F7FE06">
            <w:pPr>
              <w:overflowPunct/>
              <w:adjustRightInd/>
              <w:jc w:val="left"/>
              <w:textAlignment w:val="auto"/>
            </w:pPr>
            <w:r>
              <w:t>Rozhodnutí plenárního shromáždění</w:t>
            </w:r>
          </w:p>
        </w:tc>
        <w:tc>
          <w:tcPr>
            <w:tcW w:w="5671" w:type="dxa"/>
          </w:tcPr>
          <w:p w:rsidRPr="00F1254E" w:rsidR="002C1D46" w:rsidP="00D60899" w:rsidRDefault="002C1D46" w14:paraId="3BD5EE4A" w14:textId="1DF73D04">
            <w:pPr>
              <w:overflowPunct/>
              <w:adjustRightInd/>
              <w:jc w:val="left"/>
              <w:textAlignment w:val="auto"/>
            </w:pPr>
            <w:r>
              <w:t>DD/MM/YYYY</w:t>
            </w:r>
          </w:p>
        </w:tc>
      </w:tr>
      <w:tr w:rsidRPr="00F1254E" w:rsidR="00BA1290" w:rsidTr="00D60899" w14:paraId="6E522A1E" w14:textId="77777777">
        <w:tc>
          <w:tcPr>
            <w:tcW w:w="3402" w:type="dxa"/>
          </w:tcPr>
          <w:p w:rsidRPr="00F1254E" w:rsidR="00BA1290" w:rsidP="00D60899" w:rsidRDefault="00BA1290" w14:paraId="6E522A1C" w14:textId="77777777">
            <w:pPr>
              <w:overflowPunct/>
              <w:adjustRightInd/>
              <w:jc w:val="left"/>
              <w:textAlignment w:val="auto"/>
            </w:pPr>
          </w:p>
        </w:tc>
        <w:tc>
          <w:tcPr>
            <w:tcW w:w="5671" w:type="dxa"/>
          </w:tcPr>
          <w:p w:rsidRPr="00F1254E" w:rsidR="00BA1290" w:rsidP="00D60899" w:rsidRDefault="00BA1290" w14:paraId="6E522A1D" w14:textId="77777777">
            <w:pPr>
              <w:overflowPunct/>
              <w:adjustRightInd/>
              <w:jc w:val="left"/>
              <w:textAlignment w:val="auto"/>
            </w:pPr>
          </w:p>
        </w:tc>
      </w:tr>
      <w:tr w:rsidRPr="00F1254E" w:rsidR="00DF5B64" w:rsidTr="00D60899" w14:paraId="6E522A21" w14:textId="77777777">
        <w:tc>
          <w:tcPr>
            <w:tcW w:w="3402" w:type="dxa"/>
          </w:tcPr>
          <w:p w:rsidRPr="00F1254E" w:rsidR="00DF5B64" w:rsidP="00D60899" w:rsidRDefault="00AD4B4F" w14:paraId="6E522A1F" w14:textId="77777777">
            <w:pPr>
              <w:overflowPunct/>
              <w:adjustRightInd/>
              <w:jc w:val="left"/>
              <w:textAlignment w:val="auto"/>
              <w:rPr>
                <w:szCs w:val="22"/>
              </w:rPr>
            </w:pPr>
            <w:r>
              <w:t>Odpovědná sekce</w:t>
            </w:r>
          </w:p>
        </w:tc>
        <w:tc>
          <w:tcPr>
            <w:tcW w:w="5671" w:type="dxa"/>
          </w:tcPr>
          <w:p w:rsidRPr="00F1254E" w:rsidR="00DF5B64" w:rsidP="00D60899" w:rsidRDefault="0013407E" w14:paraId="6E522A20" w14:textId="08CF5AB3">
            <w:pPr>
              <w:overflowPunct/>
              <w:adjustRightInd/>
              <w:jc w:val="left"/>
              <w:textAlignment w:val="auto"/>
              <w:rPr>
                <w:szCs w:val="22"/>
              </w:rPr>
            </w:pPr>
            <w:r>
              <w:t>Zaměstnanost, sociální věci, občanství</w:t>
            </w:r>
          </w:p>
        </w:tc>
      </w:tr>
      <w:tr w:rsidRPr="00F1254E" w:rsidR="00A156E6" w:rsidTr="00D60899" w14:paraId="6E522A27" w14:textId="77777777">
        <w:tc>
          <w:tcPr>
            <w:tcW w:w="3402" w:type="dxa"/>
          </w:tcPr>
          <w:p w:rsidRPr="00F1254E" w:rsidR="00A156E6" w:rsidP="00D60899" w:rsidRDefault="00A156E6" w14:paraId="6E522A25" w14:textId="77777777">
            <w:pPr>
              <w:overflowPunct/>
              <w:adjustRightInd/>
              <w:jc w:val="left"/>
              <w:textAlignment w:val="auto"/>
              <w:rPr>
                <w:szCs w:val="22"/>
              </w:rPr>
            </w:pPr>
            <w:r>
              <w:t>Přijato na plenárním zasedání</w:t>
            </w:r>
          </w:p>
        </w:tc>
        <w:tc>
          <w:tcPr>
            <w:tcW w:w="5671" w:type="dxa"/>
          </w:tcPr>
          <w:p w:rsidRPr="00F1254E" w:rsidR="00A156E6" w:rsidP="00D60899" w:rsidRDefault="003439AB" w14:paraId="6E522A26" w14:textId="77777777">
            <w:pPr>
              <w:overflowPunct/>
              <w:adjustRightInd/>
              <w:jc w:val="left"/>
              <w:textAlignment w:val="auto"/>
              <w:rPr>
                <w:szCs w:val="22"/>
              </w:rPr>
            </w:pPr>
            <w:r>
              <w:t>DD/MM/YYYY</w:t>
            </w:r>
          </w:p>
        </w:tc>
      </w:tr>
      <w:tr w:rsidRPr="00F1254E" w:rsidR="00BA1290" w:rsidTr="00D60899" w14:paraId="6E522A2A" w14:textId="77777777">
        <w:tc>
          <w:tcPr>
            <w:tcW w:w="3402" w:type="dxa"/>
          </w:tcPr>
          <w:p w:rsidRPr="00F1254E" w:rsidR="00BA1290" w:rsidP="00D60899" w:rsidRDefault="00BA1290" w14:paraId="6E522A28" w14:textId="77777777">
            <w:pPr>
              <w:overflowPunct/>
              <w:adjustRightInd/>
              <w:jc w:val="left"/>
              <w:textAlignment w:val="auto"/>
              <w:rPr>
                <w:szCs w:val="22"/>
              </w:rPr>
            </w:pPr>
            <w:r>
              <w:t>Plenární zasedání č.</w:t>
            </w:r>
          </w:p>
        </w:tc>
        <w:tc>
          <w:tcPr>
            <w:tcW w:w="5671" w:type="dxa"/>
          </w:tcPr>
          <w:p w:rsidRPr="00F1254E" w:rsidR="00BA1290" w:rsidP="00D60899" w:rsidRDefault="00BA1290" w14:paraId="6E522A29" w14:textId="77777777">
            <w:pPr>
              <w:overflowPunct/>
              <w:adjustRightInd/>
              <w:jc w:val="left"/>
              <w:textAlignment w:val="auto"/>
              <w:rPr>
                <w:szCs w:val="22"/>
              </w:rPr>
            </w:pPr>
            <w:r>
              <w:t>…</w:t>
            </w:r>
          </w:p>
        </w:tc>
      </w:tr>
      <w:tr w:rsidRPr="00F1254E" w:rsidR="00A156E6" w:rsidTr="00D60899" w14:paraId="6E522A2D" w14:textId="77777777">
        <w:tc>
          <w:tcPr>
            <w:tcW w:w="3402" w:type="dxa"/>
          </w:tcPr>
          <w:p w:rsidRPr="00F1254E" w:rsidR="00D423D4" w:rsidP="00D60899" w:rsidRDefault="00D60899" w14:paraId="6E522A2B" w14:textId="5E300EB4">
            <w:pPr>
              <w:overflowPunct/>
              <w:adjustRightInd/>
              <w:jc w:val="left"/>
            </w:pPr>
            <w:r>
              <w:t xml:space="preserve">Výsledek hlasování </w:t>
            </w:r>
            <w:r w:rsidR="0043024C">
              <w:br/>
              <w:t>(pro/proti/zdrželi se hlasování)</w:t>
            </w:r>
          </w:p>
        </w:tc>
        <w:tc>
          <w:tcPr>
            <w:tcW w:w="5671" w:type="dxa"/>
            <w:vAlign w:val="bottom"/>
          </w:tcPr>
          <w:p w:rsidRPr="00F1254E" w:rsidR="00A156E6" w:rsidP="00D60899" w:rsidRDefault="00A156E6" w14:paraId="6E522A2C" w14:textId="77777777">
            <w:pPr>
              <w:overflowPunct/>
              <w:adjustRightInd/>
              <w:jc w:val="left"/>
              <w:textAlignment w:val="auto"/>
              <w:rPr>
                <w:szCs w:val="22"/>
              </w:rPr>
            </w:pPr>
            <w:r>
              <w:t>…/…/…</w:t>
            </w:r>
          </w:p>
        </w:tc>
      </w:tr>
    </w:tbl>
    <w:p w:rsidRPr="00F1254E" w:rsidR="0090053A" w:rsidP="00D60899" w:rsidRDefault="0090053A" w14:paraId="6E522A2E" w14:textId="77777777">
      <w:pPr>
        <w:overflowPunct/>
        <w:adjustRightInd/>
        <w:textAlignment w:val="auto"/>
      </w:pPr>
    </w:p>
    <w:p w:rsidRPr="00F1254E" w:rsidR="00646AC2" w:rsidP="00D60899" w:rsidRDefault="00646AC2" w14:paraId="6E522A2F" w14:textId="77777777">
      <w:pPr>
        <w:overflowPunct/>
        <w:adjustRightInd/>
        <w:textAlignment w:val="auto"/>
      </w:pPr>
      <w:r>
        <w:br w:type="page"/>
      </w:r>
    </w:p>
    <w:p w:rsidRPr="00F1254E" w:rsidR="00194B36" w:rsidP="00D60899" w:rsidRDefault="00194B36" w14:paraId="6E522A30" w14:textId="77777777">
      <w:pPr>
        <w:pStyle w:val="Heading1"/>
      </w:pPr>
      <w:r>
        <w:lastRenderedPageBreak/>
        <w:t>Závěry a doporučení</w:t>
      </w:r>
    </w:p>
    <w:p w:rsidRPr="00F1254E" w:rsidR="00194B36" w:rsidP="00D60899" w:rsidRDefault="00194B36" w14:paraId="6E522A31" w14:textId="77777777">
      <w:pPr>
        <w:keepNext/>
        <w:overflowPunct/>
        <w:adjustRightInd/>
        <w:ind w:left="142" w:hanging="142"/>
        <w:jc w:val="left"/>
        <w:textAlignment w:val="auto"/>
      </w:pPr>
    </w:p>
    <w:p w:rsidR="00A86DEB" w:rsidP="00D60899" w:rsidRDefault="00A86DEB" w14:paraId="19B39B8D" w14:textId="1C5253BD">
      <w:pPr>
        <w:pStyle w:val="Heading2"/>
      </w:pPr>
      <w:r>
        <w:t>Pandemie COVID-19 představuje mimořádný otřes pro naše hospodářství, společnost i život, přičemž v nebývalé míře bylo zasaženo odvětví cestovního ruchu. Současná krize ukázala význam cestovního ruchu pro Evropu, a to nejen z hospodářského hlediska, ale také z hlediska společného soužití a utváření společné budoucnosti.</w:t>
      </w:r>
    </w:p>
    <w:p w:rsidRPr="00A86DEB" w:rsidR="00A86DEB" w:rsidP="00D60899" w:rsidRDefault="00A86DEB" w14:paraId="1D634D6F" w14:textId="77777777">
      <w:pPr>
        <w:ind w:left="567" w:hanging="567"/>
        <w:rPr>
          <w:lang w:val="en"/>
        </w:rPr>
      </w:pPr>
    </w:p>
    <w:p w:rsidR="00000CA8" w:rsidP="00D60899" w:rsidRDefault="00A86DEB" w14:paraId="4A74399C" w14:textId="2D5B75F1">
      <w:pPr>
        <w:pStyle w:val="Heading2"/>
      </w:pPr>
      <w:r>
        <w:t xml:space="preserve">EHSV zastává názor, že „digitální zelený certifikát“ by měl minimalizovat obtíže spojené </w:t>
      </w:r>
      <w:r w:rsidR="00834F56">
        <w:t>s </w:t>
      </w:r>
      <w:r>
        <w:t>cestováním a usnadnit pohyb cestujících osob během pandemie COVID-19.</w:t>
      </w:r>
    </w:p>
    <w:p w:rsidRPr="00000CA8" w:rsidR="00000CA8" w:rsidP="00D60899" w:rsidRDefault="00000CA8" w14:paraId="109190E5" w14:textId="77777777"/>
    <w:p w:rsidR="00A86DEB" w:rsidP="00D60899" w:rsidRDefault="00A86DEB" w14:paraId="67D361E8" w14:textId="4DB1859A">
      <w:pPr>
        <w:pStyle w:val="Heading2"/>
      </w:pPr>
      <w:r>
        <w:rPr>
          <w:bdr w:val="none" w:color="auto" w:sz="0" w:space="0" w:frame="1"/>
        </w:rPr>
        <w:t>EHSV se domnívá, že je nutné vyjasnit skutečnost, že držení „digitálního zeleného certifikátu“ není podmínkou pro výkon volného pohybu a že navrhované nařízení nezakládá povinnost ani právo na očkování.</w:t>
      </w:r>
      <w:r>
        <w:t xml:space="preserve"> Doporučuje však, aby byl zejména sociálně marginalizovaným </w:t>
      </w:r>
      <w:r w:rsidR="00834F56">
        <w:t>a </w:t>
      </w:r>
      <w:r>
        <w:t>znevýhodněným skupinám poskytnut přístup k příslušným informacím a aby byl náležitě posuzován a sledován dopad zeleného certifikátu na tyto skupiny.</w:t>
      </w:r>
    </w:p>
    <w:p w:rsidRPr="00BE7319" w:rsidR="00A86DEB" w:rsidP="00D60899" w:rsidRDefault="00A86DEB" w14:paraId="335FE0AB" w14:textId="77777777">
      <w:pPr>
        <w:ind w:left="567" w:hanging="567"/>
      </w:pPr>
    </w:p>
    <w:p w:rsidR="00A86DEB" w:rsidP="00D60899" w:rsidRDefault="00A86DEB" w14:paraId="6859171F" w14:textId="5C109830">
      <w:pPr>
        <w:pStyle w:val="Heading2"/>
      </w:pPr>
      <w:r>
        <w:t xml:space="preserve">EHSV zdůrazňuje, že držení zeleného certifikátu by nemělo cestující osvobozovat od dodržování dalších opatření ke snížení rizika, ale mělo by být považováno za přechodnou strategii pro země, které požadují stálý mechanismus soustavného přehodnocování po jeho přijetí. </w:t>
      </w:r>
    </w:p>
    <w:p w:rsidRPr="00BF5BD6" w:rsidR="00BF5BD6" w:rsidP="00D60899" w:rsidRDefault="00BF5BD6" w14:paraId="03AB3E56" w14:textId="77777777"/>
    <w:p w:rsidR="00A86DEB" w:rsidP="00D60899" w:rsidRDefault="00A86DEB" w14:paraId="3CD8EA36" w14:textId="14C12014">
      <w:pPr>
        <w:pStyle w:val="Heading2"/>
      </w:pPr>
      <w:r>
        <w:t xml:space="preserve">EHSV poukazuje na to, že všechny evropské země by měly spolupracovat, aby co nejdříve dosáhly jednotných rámcových podmínek (tj. </w:t>
      </w:r>
      <w:r>
        <w:rPr>
          <w:bdr w:val="none" w:color="auto" w:sz="0" w:space="0" w:frame="1"/>
        </w:rPr>
        <w:t xml:space="preserve">obsahu, formátu a technických norem certifikátu </w:t>
      </w:r>
      <w:r w:rsidR="00834F56">
        <w:rPr>
          <w:bdr w:val="none" w:color="auto" w:sz="0" w:space="0" w:frame="1"/>
        </w:rPr>
        <w:t>a </w:t>
      </w:r>
      <w:r>
        <w:rPr>
          <w:bdr w:val="none" w:color="auto" w:sz="0" w:space="0" w:frame="1"/>
        </w:rPr>
        <w:t>zásad jeho používání</w:t>
      </w:r>
      <w:r>
        <w:t>).</w:t>
      </w:r>
    </w:p>
    <w:p w:rsidRPr="00A86DEB" w:rsidR="00A86DEB" w:rsidP="00D60899" w:rsidRDefault="00A86DEB" w14:paraId="0A6C8B2E" w14:textId="77777777">
      <w:pPr>
        <w:ind w:left="567" w:hanging="567"/>
        <w:rPr>
          <w:lang w:val="en-US"/>
        </w:rPr>
      </w:pPr>
    </w:p>
    <w:p w:rsidRPr="009E7445" w:rsidR="00A86DEB" w:rsidP="00D60899" w:rsidRDefault="00A86DEB" w14:paraId="689DFBB2" w14:textId="0DD3353E">
      <w:pPr>
        <w:pStyle w:val="Heading2"/>
      </w:pPr>
      <w:r>
        <w:t xml:space="preserve">EHSV upozorňuje, že cestovní protokoly musí být jasné a použitelné pro mezinárodní leteckou, silniční a námořní dopravu. </w:t>
      </w:r>
    </w:p>
    <w:p w:rsidRPr="009E7445" w:rsidR="00A86DEB" w:rsidP="00D60899" w:rsidRDefault="00A86DEB" w14:paraId="0FCDD2F4" w14:textId="77777777">
      <w:pPr>
        <w:ind w:left="567" w:hanging="567"/>
        <w:rPr>
          <w:szCs w:val="22"/>
        </w:rPr>
      </w:pPr>
    </w:p>
    <w:p w:rsidR="00A86DEB" w:rsidP="00D60899" w:rsidRDefault="00A86DEB" w14:paraId="662294B5" w14:textId="4728F6C0">
      <w:pPr>
        <w:pStyle w:val="Heading2"/>
      </w:pPr>
      <w:r>
        <w:rPr>
          <w:bdr w:val="none" w:color="auto" w:sz="0" w:space="0" w:frame="1"/>
        </w:rPr>
        <w:t>EHSV zdůrazňuje, že</w:t>
      </w:r>
      <w:r>
        <w:t xml:space="preserve"> je nezbytné, aby měly všechny členské státy zavedeny interoperabilní systémy se stejně přísnými předpisy v oblasti ochrany údajů, jelikož osobní údaje zahrnují citlivé lékařské údaje. Digitální zelený certifikát nesmí vyžadovat vytvoření a vedení centrální databáze na úrovni EU. EHSV rovněž doporučuje, aby byl digitální zelený certifikát koncipován tak, že pouze sám cestující uvidí informace o tom, kterou kategorii pro cestování splňuje.</w:t>
      </w:r>
    </w:p>
    <w:p w:rsidRPr="00A86DEB" w:rsidR="00A86DEB" w:rsidP="00D60899" w:rsidRDefault="00A86DEB" w14:paraId="2AF4C2AF" w14:textId="77777777">
      <w:pPr>
        <w:ind w:left="567" w:hanging="567"/>
      </w:pPr>
    </w:p>
    <w:p w:rsidR="00A86DEB" w:rsidP="00D60899" w:rsidRDefault="00A86DEB" w14:paraId="57AFDB30" w14:textId="519C94CB">
      <w:pPr>
        <w:pStyle w:val="Heading2"/>
      </w:pPr>
      <w:r>
        <w:t>EHSV by rovněž rád upozornil na to, že digitální zelený certifikát bude sloužit také k usnadňování služebních cest. To nesmí vést k diskriminaci na pracovišti nebo ke zneužití ve formě zaměstnávání očkovaných osob ze třetích zemí na místech se špatnými pracovními podmínkami.</w:t>
      </w:r>
    </w:p>
    <w:p w:rsidRPr="00A86DEB" w:rsidR="00A86DEB" w:rsidP="00D60899" w:rsidRDefault="00A86DEB" w14:paraId="7F0514F8" w14:textId="77777777">
      <w:pPr>
        <w:ind w:left="567" w:hanging="567"/>
      </w:pPr>
    </w:p>
    <w:p w:rsidRPr="009E7445" w:rsidR="00A86DEB" w:rsidP="00D60899" w:rsidRDefault="00A86DEB" w14:paraId="1078AECF" w14:textId="462681C0">
      <w:pPr>
        <w:pStyle w:val="Heading2"/>
      </w:pPr>
      <w:r>
        <w:t>EHSV vyzývá Komisi a členské státy, aby zajistily, že vystavení certifikátu i jeho aktualizace budou bezplatné.</w:t>
      </w:r>
    </w:p>
    <w:p w:rsidRPr="009E7445" w:rsidR="00A86DEB" w:rsidP="00D60899" w:rsidRDefault="00A86DEB" w14:paraId="00D70409" w14:textId="77777777">
      <w:pPr>
        <w:ind w:left="567" w:hanging="567"/>
        <w:rPr>
          <w:szCs w:val="22"/>
        </w:rPr>
      </w:pPr>
    </w:p>
    <w:p w:rsidRPr="002F35B7" w:rsidR="00A86DEB" w:rsidP="00D60899" w:rsidRDefault="00A86DEB" w14:paraId="53C26FA9" w14:textId="0CAD7A02">
      <w:pPr>
        <w:pStyle w:val="Heading2"/>
      </w:pPr>
      <w:r>
        <w:t>EHSV zdůrazňuje potřebu urychlit očkování navýšením výroby očkovacích látek a zajištěním větší transparentnosti a předvídatelnosti, aby bylo možné zaručit prostřednictvím koordinovaného a jednotného přístupu odpovídající počet očkovacích látek v celé EU. Země by zároveň měly dále investovat do vzdělávacích kampaní o výhodách očkování, a bojovat tak proti šíření dezinformací.</w:t>
      </w:r>
    </w:p>
    <w:p w:rsidRPr="00685198" w:rsidR="00685198" w:rsidP="00D60899" w:rsidRDefault="00685198" w14:paraId="762E5B6A" w14:textId="77777777">
      <w:pPr>
        <w:rPr>
          <w:lang w:val="en-US"/>
        </w:rPr>
      </w:pPr>
    </w:p>
    <w:p w:rsidR="00A86DEB" w:rsidP="00D60899" w:rsidRDefault="00A86DEB" w14:paraId="65428E8B" w14:textId="026AE70E">
      <w:pPr>
        <w:pStyle w:val="Heading2"/>
      </w:pPr>
      <w:r>
        <w:lastRenderedPageBreak/>
        <w:t>EHSV je toho názoru, že je třeba doplnit mezi způsoby získání digitálního zeleného certifikátu samotestování a krevní testy na protilátky proti onemocnění COVID-19.</w:t>
      </w:r>
    </w:p>
    <w:p w:rsidRPr="007931BA" w:rsidR="00A86DEB" w:rsidP="00D60899" w:rsidRDefault="00A86DEB" w14:paraId="4563623B" w14:textId="77777777">
      <w:pPr>
        <w:ind w:left="567" w:hanging="567"/>
        <w:rPr>
          <w:szCs w:val="22"/>
        </w:rPr>
      </w:pPr>
    </w:p>
    <w:p w:rsidR="00A86DEB" w:rsidP="00D60899" w:rsidRDefault="00A86DEB" w14:paraId="10BC5551" w14:textId="7924088F">
      <w:pPr>
        <w:pStyle w:val="Heading2"/>
      </w:pPr>
      <w:r>
        <w:t xml:space="preserve">EHSV se vyslovuje pro to, aby vlády evropských zemí zajistily levný a snadný přístup k testování všem občanům, aby se tak zabránilo nerovným omezením svobody pohybu osob, které nebyly naočkovány. </w:t>
      </w:r>
    </w:p>
    <w:p w:rsidRPr="00A86DEB" w:rsidR="00A86DEB" w:rsidP="00D60899" w:rsidRDefault="00A86DEB" w14:paraId="766951A7" w14:textId="77777777"/>
    <w:p w:rsidRPr="00434BB8" w:rsidR="00890B8B" w:rsidP="00D60899" w:rsidRDefault="00A86DEB" w14:paraId="628B1C8E" w14:textId="65DC31E9">
      <w:pPr>
        <w:pStyle w:val="Heading2"/>
      </w:pPr>
      <w:r>
        <w:t>EHSV je přesvědčen, že certifikát musí být uznáván ve všech členských státech EU, což přispěje k postupnému zavádění plné svobody pohybu v EU během pandemie COVID-19.</w:t>
      </w:r>
    </w:p>
    <w:p w:rsidRPr="00F1254E" w:rsidR="00890B8B" w:rsidP="00D60899" w:rsidRDefault="00890B8B" w14:paraId="0DD35239" w14:textId="77777777">
      <w:pPr>
        <w:rPr>
          <w:b/>
        </w:rPr>
      </w:pPr>
    </w:p>
    <w:p w:rsidRPr="00434BB8" w:rsidR="00890B8B" w:rsidP="00D60899" w:rsidRDefault="00890B8B" w14:paraId="7F0617FD" w14:textId="3640CD15">
      <w:pPr>
        <w:pStyle w:val="Heading1"/>
        <w:keepLines/>
      </w:pPr>
      <w:r>
        <w:t>Souvislosti</w:t>
      </w:r>
    </w:p>
    <w:p w:rsidRPr="00F1254E" w:rsidR="00890B8B" w:rsidP="00D60899" w:rsidRDefault="00890B8B" w14:paraId="6F087F5C" w14:textId="77777777">
      <w:pPr>
        <w:keepNext/>
        <w:keepLines/>
        <w:rPr>
          <w:b/>
        </w:rPr>
      </w:pPr>
    </w:p>
    <w:p w:rsidR="00A86DEB" w:rsidP="00D60899" w:rsidRDefault="00A86DEB" w14:paraId="63217982" w14:textId="5DF17E6D">
      <w:pPr>
        <w:pStyle w:val="Heading2"/>
      </w:pPr>
      <w:r>
        <w:t>Za účelem zajištění řádně koordinovaného, předvídatelného a transparentního přístupu k zavádění omezení volného pohybu v reakci na pandemii COVID-19 přijala Rada dne 13.</w:t>
      </w:r>
      <w:r w:rsidR="00834F56">
        <w:t> </w:t>
      </w:r>
      <w:r>
        <w:t>října</w:t>
      </w:r>
      <w:r w:rsidR="00834F56">
        <w:t> </w:t>
      </w:r>
      <w:r>
        <w:t>2020 doporučení Rady (EU) 2020/1475.</w:t>
      </w:r>
    </w:p>
    <w:p w:rsidRPr="00A86DEB" w:rsidR="00A86DEB" w:rsidP="00D60899" w:rsidRDefault="00A86DEB" w14:paraId="198673DB" w14:textId="77777777"/>
    <w:p w:rsidR="00A86DEB" w:rsidP="00D60899" w:rsidRDefault="00A86DEB" w14:paraId="163F5FCC" w14:textId="4EE42D04">
      <w:pPr>
        <w:pStyle w:val="Heading2"/>
        <w:numPr>
          <w:ilvl w:val="0"/>
          <w:numId w:val="0"/>
        </w:numPr>
        <w:ind w:left="567"/>
      </w:pPr>
      <w:r>
        <w:t xml:space="preserve">Ve skutečnosti však nebylo toto doporučení téměř vůbec vymáháno a jednotlivé členské státy uplatňovaly rozdílná omezení. </w:t>
      </w:r>
    </w:p>
    <w:p w:rsidRPr="00A86DEB" w:rsidR="00A86DEB" w:rsidP="00D60899" w:rsidRDefault="00A86DEB" w14:paraId="229FD49C" w14:textId="77777777"/>
    <w:p w:rsidR="00A86DEB" w:rsidP="00D60899" w:rsidRDefault="00A86DEB" w14:paraId="184ADA59" w14:textId="6A0A6FEA">
      <w:pPr>
        <w:pStyle w:val="Heading2"/>
      </w:pPr>
      <w:r>
        <w:t xml:space="preserve">Ještě důležitější je, že v prohlášení přijatém v návaznosti na neformální videokonference konané ve dnech 25.–26. února 2021 vyzvali členové Evropské rady k tomu, aby se pokračovalo v práci na společném přístupu k certifikátům o očkování. Na přípravě interoperability těchto certifikátů spolupracuje Komise s členskými státy v rámci sítě pro elektronické zdravotnictví, což je dobrovolná síť vnitrostátních orgánů elektronického zdravotnictví. Síť pro elektronické zdravotnictví se rovněž dohodla na společných harmonizovaných souborech údajů pro certifikáty o očkování, testování a uzdravení v kontextu onemocnění COVID-19 a 12. března 2021 se dohodla na osnově rámce pro důvěryhodnost. </w:t>
      </w:r>
    </w:p>
    <w:p w:rsidRPr="00A86DEB" w:rsidR="00A86DEB" w:rsidP="00D60899" w:rsidRDefault="00A86DEB" w14:paraId="2D744424" w14:textId="77777777"/>
    <w:p w:rsidR="00A86DEB" w:rsidP="00D60899" w:rsidRDefault="00A86DEB" w14:paraId="0AA73584" w14:textId="194E9966">
      <w:pPr>
        <w:pStyle w:val="Heading2"/>
      </w:pPr>
      <w:r>
        <w:t xml:space="preserve">Na základě dosud vykonané technické práce předložila Komise dne 17. března 2021 návrh nařízení o digitálním zeleném certifikátu, které představuje rámec pro vydávání, ověřování </w:t>
      </w:r>
      <w:r w:rsidR="00834F56">
        <w:t>a </w:t>
      </w:r>
      <w:r>
        <w:t>uznávání interoperabilních zdravotních certifikátů o očkování, testování a uzdravení s cílem usnadnit volný pohyb v EU (2021/0068 (COD)), a doprovodný návrh týkající se státních příslušníků třetích zemí, kteří oprávněně pobývají nebo mají bydliště na území EU (2021/0071 (COD)).</w:t>
      </w:r>
    </w:p>
    <w:p w:rsidRPr="00A86DEB" w:rsidR="00A86DEB" w:rsidP="00D60899" w:rsidRDefault="00A86DEB" w14:paraId="7313452B" w14:textId="77777777"/>
    <w:p w:rsidR="00A86DEB" w:rsidP="00D60899" w:rsidRDefault="00A86DEB" w14:paraId="4BBCD0BC" w14:textId="2C9DA834">
      <w:pPr>
        <w:pStyle w:val="Heading2"/>
        <w:numPr>
          <w:ilvl w:val="0"/>
          <w:numId w:val="0"/>
        </w:numPr>
        <w:ind w:left="567"/>
      </w:pPr>
      <w:r>
        <w:t xml:space="preserve">Plánovaný evropský certifikát by – při respektování základních práv, včetně ochrany soukromí </w:t>
      </w:r>
      <w:r w:rsidR="00834F56">
        <w:t>a </w:t>
      </w:r>
      <w:r>
        <w:t xml:space="preserve">zákazu diskriminace – poskytoval: </w:t>
      </w:r>
    </w:p>
    <w:p w:rsidR="00A86DEB" w:rsidP="00D60899" w:rsidRDefault="00A86DEB" w14:paraId="25A09696" w14:textId="0EDC41CA">
      <w:pPr>
        <w:pStyle w:val="Heading2"/>
        <w:numPr>
          <w:ilvl w:val="0"/>
          <w:numId w:val="2"/>
        </w:numPr>
        <w:ind w:left="1134" w:hanging="567"/>
      </w:pPr>
      <w:r>
        <w:t xml:space="preserve">důkaz, že daná osoba byla naočkována proti onemocnění COVID-19 a/nebo </w:t>
      </w:r>
    </w:p>
    <w:p w:rsidR="00A86DEB" w:rsidP="00D60899" w:rsidRDefault="00A86DEB" w14:paraId="1CBDCD9D" w14:textId="4E48CC78">
      <w:pPr>
        <w:pStyle w:val="Heading2"/>
        <w:numPr>
          <w:ilvl w:val="0"/>
          <w:numId w:val="2"/>
        </w:numPr>
        <w:ind w:left="1134" w:hanging="567"/>
      </w:pPr>
      <w:r>
        <w:t xml:space="preserve">výsledky nedávno provedených testů na infekci SARS-CoV-2 a/nebo </w:t>
      </w:r>
    </w:p>
    <w:p w:rsidR="00A86DEB" w:rsidP="00D60899" w:rsidRDefault="00A86DEB" w14:paraId="3885C0B3" w14:textId="59D8F208">
      <w:pPr>
        <w:pStyle w:val="Heading2"/>
        <w:numPr>
          <w:ilvl w:val="0"/>
          <w:numId w:val="2"/>
        </w:numPr>
        <w:ind w:left="1134" w:hanging="567"/>
      </w:pPr>
      <w:r>
        <w:t xml:space="preserve">informace o uzdravení osoby z infekce SARS-CoV-2. </w:t>
      </w:r>
    </w:p>
    <w:p w:rsidRPr="00A86DEB" w:rsidR="00A86DEB" w:rsidP="00D60899" w:rsidRDefault="00A86DEB" w14:paraId="55383FD5" w14:textId="77777777"/>
    <w:p w:rsidR="00A86DEB" w:rsidP="00D60899" w:rsidRDefault="00A86DEB" w14:paraId="7E3E637F" w14:textId="06319CFB">
      <w:pPr>
        <w:pStyle w:val="Heading2"/>
      </w:pPr>
      <w:r>
        <w:t>Bude určen občanům EU a jejich rodinným příslušníkům, státním příslušníkům třetích zemí, kteří mají bydliště v EU, a návštěvníkům, kteří mají právo cestovat do jiných členských států. Bude platit ve všech členských státech EU a na Islandu, v Lichtenštejnsku a v Norsku prostřednictvím začlenění do dohody o EHP. I Švýcarsko se může rozhodnout zavést tento certifikát.</w:t>
      </w:r>
    </w:p>
    <w:p w:rsidRPr="00D21B1F" w:rsidR="00D21B1F" w:rsidP="00D60899" w:rsidRDefault="00D21B1F" w14:paraId="38600786" w14:textId="77777777"/>
    <w:p w:rsidR="00A86DEB" w:rsidP="00D60899" w:rsidRDefault="00A86DEB" w14:paraId="3A7C027D" w14:textId="41D4DC3A">
      <w:pPr>
        <w:pStyle w:val="Heading2"/>
      </w:pPr>
      <w:r>
        <w:lastRenderedPageBreak/>
        <w:t xml:space="preserve">Za jeho vydávání budou odpovědné vnitrostátní orgány v členských státech EU (nemocnice, testovací střediska nebo zdravotnické orgány). Certifikát bude obsahovat jméno dané osoby, datum narození, datum vydání, informace o očkovací látce, testu nebo uzdravení a jedinečný identifikátor. K ověření věrohodnosti certifikátu, zajištění bezpečnosti údajů a ochraně proti padělání bude vytvořen kód QR. </w:t>
      </w:r>
    </w:p>
    <w:p w:rsidRPr="00A86DEB" w:rsidR="00A86DEB" w:rsidP="00D60899" w:rsidRDefault="00A86DEB" w14:paraId="2D584B5C" w14:textId="77777777"/>
    <w:p w:rsidR="00A86DEB" w:rsidP="00D60899" w:rsidRDefault="00A86DEB" w14:paraId="427838EC" w14:textId="3FB119A0">
      <w:pPr>
        <w:pStyle w:val="Heading2"/>
      </w:pPr>
      <w:r>
        <w:t>Návrh nezavazuje členské státy, aby upustily od omezení volného pohybu (pokud jsou nezbytná k ochraně veřejného zdraví) pro cestující se zeleným certifikátem, ale poskytuje jim k tomu spolehlivé, věrohodné a harmonizované dokumenty. Je proto zřejmé, že zde zůstane zachován prostor pro uvážení, ačkoli navrhovaný rámec doporučuje ponechat omezení jen ve zcela nezbytné míře a předpokládá, že omezení budou pro držitele certifikátu zrušena, poněvadž členské státy budou povinny informovat ostatní členské státy a Komisi, jestliže budou omezení nadále ukládat.</w:t>
      </w:r>
    </w:p>
    <w:p w:rsidRPr="00A86DEB" w:rsidR="00A86DEB" w:rsidP="00D60899" w:rsidRDefault="00A86DEB" w14:paraId="0830E213" w14:textId="77777777"/>
    <w:p w:rsidR="00890B8B" w:rsidP="00D60899" w:rsidRDefault="00A86DEB" w14:paraId="17F47E00" w14:textId="2DC45DCC">
      <w:pPr>
        <w:pStyle w:val="Heading2"/>
      </w:pPr>
      <w:r>
        <w:t xml:space="preserve">Navrhovaný systém ponechává prostor pro úpravy založené na nových vědeckých důkazech o účinnosti očkovacích látek při zabraňování přenosu SARS-CoV-2 a trvání imunity po předchozí infekci. V současné době rámec stanoví maximální dobu platnosti certifikátu po uzdravení </w:t>
      </w:r>
      <w:r w:rsidR="00834F56">
        <w:t>z </w:t>
      </w:r>
      <w:r>
        <w:t>předchozí infekce COVID-19 na 180 dní. Podle návrhu bude vydávání digitálního zeleného certifikátu zastaveno, jakmile Světová zdravotnická organizace (WHO) vyhlásí, že ohrožení veřejného zdraví mezinárodního významu způsobené onemocněním COVID-19 skončilo, bude však možné jej znovu aktivovat v případě budoucí pandemie.</w:t>
      </w:r>
    </w:p>
    <w:p w:rsidRPr="00A86DEB" w:rsidR="00A86DEB" w:rsidP="00D60899" w:rsidRDefault="00A86DEB" w14:paraId="22570415" w14:textId="77777777"/>
    <w:p w:rsidRPr="00F1254E" w:rsidR="00890B8B" w:rsidP="00D60899" w:rsidRDefault="00890B8B" w14:paraId="1992735F" w14:textId="0C9B3DF4">
      <w:pPr>
        <w:pStyle w:val="Heading1"/>
        <w:keepLines/>
      </w:pPr>
      <w:r>
        <w:t>Obecné připomínky k současné krizi v odvětví cestovního ruchu</w:t>
      </w:r>
    </w:p>
    <w:p w:rsidRPr="00F1254E" w:rsidR="00890B8B" w:rsidP="00D60899" w:rsidRDefault="00890B8B" w14:paraId="6033B9F3" w14:textId="77777777">
      <w:pPr>
        <w:keepNext/>
        <w:keepLines/>
        <w:rPr>
          <w:b/>
        </w:rPr>
      </w:pPr>
    </w:p>
    <w:p w:rsidR="00A86DEB" w:rsidP="00D60899" w:rsidRDefault="00A86DEB" w14:paraId="3529351E" w14:textId="6DE61346">
      <w:pPr>
        <w:pStyle w:val="Heading2"/>
      </w:pPr>
      <w:r>
        <w:t>Vysoce dynamické a propojené odvětví cestovního ruchu představuje jednu z hybných sil evropského hospodářství a zaujímá 50%</w:t>
      </w:r>
      <w:r w:rsidR="00634D0F">
        <w:rPr>
          <w:rStyle w:val="FootnoteReference"/>
          <w:lang w:val="en"/>
        </w:rPr>
        <w:footnoteReference w:id="1"/>
      </w:r>
      <w:r>
        <w:t xml:space="preserve"> podíl na celosvětovém cestovním ruchu. Na silném </w:t>
      </w:r>
      <w:r w:rsidR="00834F56">
        <w:t>a </w:t>
      </w:r>
      <w:r>
        <w:t xml:space="preserve">prosperujícím odvětví cestovního ruchu závisí mnoho milionů pracovních míst a podniků </w:t>
      </w:r>
      <w:r w:rsidR="00834F56">
        <w:t>v </w:t>
      </w:r>
      <w:r>
        <w:t xml:space="preserve">zemích na všech úrovních rozvoje. Odvětví cestovního ruchu přímo i nepřímo přispívá k HDP EU téměř 10 %. </w:t>
      </w:r>
    </w:p>
    <w:p w:rsidRPr="00A86DEB" w:rsidR="00A86DEB" w:rsidP="00D60899" w:rsidRDefault="00A86DEB" w14:paraId="3D64839A" w14:textId="77777777"/>
    <w:p w:rsidR="00A86DEB" w:rsidP="00D60899" w:rsidRDefault="00A86DEB" w14:paraId="08E78BA8" w14:textId="43AE4A3B">
      <w:pPr>
        <w:pStyle w:val="Heading2"/>
      </w:pPr>
      <w:r>
        <w:t xml:space="preserve">Pandemie COVID-19 představuje mimořádný otřes pro naše hospodářství, společnost a život. </w:t>
      </w:r>
      <w:r w:rsidR="00834F56">
        <w:t>K </w:t>
      </w:r>
      <w:r>
        <w:t xml:space="preserve">omezení šíření viru přes hranice států používají země kombinaci opatření, z nichž některá mají nepříznivý dopad na cestování do členských států a v jejich rámci. </w:t>
      </w:r>
    </w:p>
    <w:p w:rsidRPr="00A86DEB" w:rsidR="00A86DEB" w:rsidP="00D60899" w:rsidRDefault="00A86DEB" w14:paraId="03AB333D" w14:textId="77777777"/>
    <w:p w:rsidR="00A86DEB" w:rsidP="00D60899" w:rsidRDefault="00A86DEB" w14:paraId="35E551A5" w14:textId="1A896549">
      <w:pPr>
        <w:pStyle w:val="Heading2"/>
        <w:numPr>
          <w:ilvl w:val="0"/>
          <w:numId w:val="0"/>
        </w:numPr>
        <w:ind w:left="567"/>
        <w:rPr>
          <w:color w:val="222222"/>
        </w:rPr>
      </w:pPr>
      <w:r>
        <w:t>Dopad na cestovní ruch je nebývalý, přičemž rok 2020 byl v historii cestovního ruchu tím nejhorším.</w:t>
      </w:r>
      <w:r>
        <w:rPr>
          <w:color w:val="222222"/>
        </w:rPr>
        <w:t xml:space="preserve"> V Evropě došlo v roce 2020 k poklesu počtu příjezdů o 69 % a v lednu 2021 k poklesu o 85 %</w:t>
      </w:r>
      <w:r w:rsidR="00634D0F">
        <w:rPr>
          <w:rStyle w:val="FootnoteReference"/>
          <w:color w:val="222222"/>
        </w:rPr>
        <w:footnoteReference w:id="2"/>
      </w:r>
      <w:r>
        <w:rPr>
          <w:color w:val="222222"/>
        </w:rPr>
        <w:t>.</w:t>
      </w:r>
    </w:p>
    <w:p w:rsidRPr="00A86DEB" w:rsidR="00A86DEB" w:rsidP="00D60899" w:rsidRDefault="00A86DEB" w14:paraId="23C349E7" w14:textId="77777777"/>
    <w:p w:rsidR="00A86DEB" w:rsidP="00E772B9" w:rsidRDefault="00A86DEB" w14:paraId="397A07D3" w14:textId="11760D8D">
      <w:pPr>
        <w:pStyle w:val="Heading2"/>
        <w:keepNext/>
        <w:keepLines/>
      </w:pPr>
      <w:r>
        <w:lastRenderedPageBreak/>
        <w:t>Situace je obzvláště obtížná v zemích EU, které jsou hlavními destinacemi cestovního ruchu, jako je Itálie, Řecko, Portugalsko, Malta, Kypr, Španělsko a Francie. Odhaduje se, že odvětví cestovního ruchu v EU, které zaměstnává okolo 13 milionů lidí</w:t>
      </w:r>
      <w:r w:rsidR="00634D0F">
        <w:rPr>
          <w:rStyle w:val="FootnoteReference"/>
        </w:rPr>
        <w:footnoteReference w:id="3"/>
      </w:r>
      <w:r>
        <w:t xml:space="preserve">, přichází v důsledku pandemie COVID-19 každý měsíc o příjmy ve výši zhruba 1 miliardy EUR. </w:t>
      </w:r>
    </w:p>
    <w:p w:rsidRPr="00634D0F" w:rsidR="00634D0F" w:rsidP="00D60899" w:rsidRDefault="00634D0F" w14:paraId="78F2939D" w14:textId="77777777"/>
    <w:p w:rsidR="00A86DEB" w:rsidP="00D60899" w:rsidRDefault="00A86DEB" w14:paraId="198AFE2D" w14:textId="66528654">
      <w:pPr>
        <w:pStyle w:val="Heading2"/>
      </w:pPr>
      <w:r>
        <w:t>Skutečnost, že více než třetina přidané hodnoty cestovního ruchu v domácí ekonomice pochází z nepřímých dopadů, ukazuje rozsah a hloubku vazeb mezi cestovním ruchem a jinými odvětvími</w:t>
      </w:r>
      <w:r w:rsidR="00634D0F">
        <w:rPr>
          <w:rStyle w:val="FootnoteReference"/>
        </w:rPr>
        <w:footnoteReference w:id="4"/>
      </w:r>
      <w:r>
        <w:t>. V důsledku toho má snížení počtu turistů vážný dopad na širší ekonomiku</w:t>
      </w:r>
      <w:r w:rsidR="00634D0F">
        <w:rPr>
          <w:rStyle w:val="FootnoteReference"/>
        </w:rPr>
        <w:footnoteReference w:id="5"/>
      </w:r>
      <w:r>
        <w:t>.</w:t>
      </w:r>
    </w:p>
    <w:p w:rsidRPr="00A86DEB" w:rsidR="00A86DEB" w:rsidP="00D60899" w:rsidRDefault="00A86DEB" w14:paraId="31729679" w14:textId="77777777"/>
    <w:p w:rsidR="00A86DEB" w:rsidP="00D60899" w:rsidRDefault="00A86DEB" w14:paraId="06DDE281" w14:textId="056E222F">
      <w:pPr>
        <w:pStyle w:val="Heading2"/>
      </w:pPr>
      <w:r>
        <w:rPr>
          <w:color w:val="222222"/>
        </w:rPr>
        <w:t>Pokud jde o odvětví cestovního ruchu, je také důležité poukázat na jeho sociální dopad.</w:t>
      </w:r>
      <w:r>
        <w:t xml:space="preserve"> Cestovní ruch přispívá k rozvoji venkovských komunit, poskytuje další zdroje příjmů a umožňuje tímto způsobem vyvážený územní rozvoj naší společnosti. Cestovní ruch je také jedním z faktorů ochrany přírodního a kulturního dědictví a jeho zachování pro budoucí generace.</w:t>
      </w:r>
    </w:p>
    <w:p w:rsidRPr="00634D0F" w:rsidR="00634D0F" w:rsidP="00D60899" w:rsidRDefault="00634D0F" w14:paraId="6D2221D7" w14:textId="77777777">
      <w:pPr>
        <w:rPr>
          <w:lang w:val="en"/>
        </w:rPr>
      </w:pPr>
    </w:p>
    <w:p w:rsidRPr="007F67A7" w:rsidR="00890B8B" w:rsidP="00D60899" w:rsidRDefault="00A86DEB" w14:paraId="0CE5B57D" w14:textId="3798283E">
      <w:pPr>
        <w:pStyle w:val="Heading2"/>
      </w:pPr>
      <w:r>
        <w:rPr>
          <w:color w:val="222222"/>
        </w:rPr>
        <w:t xml:space="preserve">Pokud jde o výhled od budoucna, podle odhadů Světové organizace cestovního ruchu může dojít ke znovuoživení mezinárodního cestovního ruchu ve druhé polovině roku. Závisí to na řadě faktorů, zejména na rozsáhlém zrušení cestovních omezení, na úspěchu očkovacích programů </w:t>
      </w:r>
      <w:r w:rsidR="00834F56">
        <w:rPr>
          <w:color w:val="222222"/>
        </w:rPr>
        <w:t>a </w:t>
      </w:r>
      <w:r>
        <w:rPr>
          <w:color w:val="222222"/>
        </w:rPr>
        <w:t>na zavedení harmonizovaných protokolů, jako je digitální zelený certifikát plánovaný Evropskou komisí.</w:t>
      </w:r>
    </w:p>
    <w:p w:rsidRPr="007F67A7" w:rsidR="00AF4F34" w:rsidP="00D60899" w:rsidRDefault="00AF4F34" w14:paraId="4FB6E5FE" w14:textId="77777777"/>
    <w:p w:rsidRPr="00F1254E" w:rsidR="00890B8B" w:rsidP="00D60899" w:rsidRDefault="00890B8B" w14:paraId="5BF49002" w14:textId="7A177EDD">
      <w:pPr>
        <w:pStyle w:val="Heading1"/>
        <w:keepLines/>
      </w:pPr>
      <w:r>
        <w:t>Konkrétní připomínky k návrhu nařízení o digitálním zeleném certifikátu</w:t>
      </w:r>
    </w:p>
    <w:p w:rsidRPr="00F1254E" w:rsidR="00AF4F34" w:rsidP="00D60899" w:rsidRDefault="00AF4F34" w14:paraId="0AF937F4" w14:textId="77777777">
      <w:pPr>
        <w:keepNext/>
        <w:keepLines/>
        <w:rPr>
          <w:b/>
        </w:rPr>
      </w:pPr>
    </w:p>
    <w:p w:rsidR="00634D0F" w:rsidP="00D60899" w:rsidRDefault="00634D0F" w14:paraId="6CF607E7" w14:textId="7A0111EA">
      <w:pPr>
        <w:pStyle w:val="Heading2"/>
      </w:pPr>
      <w:r>
        <w:t xml:space="preserve">EHSV podporuje iniciativu Komise týkající se spolupráce s členskými státy v rámci sítě pro elektronické zdravotnictví při přípravě interoperability certifikátu o očkování. Cílem je nalézt obecně proveditelné řešení, zabránit složitosti, omezit soubor údajů uváděných v certifikátu </w:t>
      </w:r>
      <w:r w:rsidR="00834F56">
        <w:t>o </w:t>
      </w:r>
      <w:r>
        <w:t>očkování na naprosté minimum v zájmu ochrany citlivých údajů držitelů a vyvinout jedinečný identifikátor. Absence opatření na úrovni EU by pravděpodobně vedla k tomu, že by členské státy přijaly odlišné, nekoordinované a složité systémy.</w:t>
      </w:r>
    </w:p>
    <w:p w:rsidRPr="00634D0F" w:rsidR="00634D0F" w:rsidP="00D60899" w:rsidRDefault="00634D0F" w14:paraId="5823D6D9" w14:textId="77777777"/>
    <w:p w:rsidR="00634D0F" w:rsidP="00D60899" w:rsidRDefault="00634D0F" w14:paraId="359A126B" w14:textId="5C69A248">
      <w:pPr>
        <w:pStyle w:val="Heading2"/>
      </w:pPr>
      <w:r>
        <w:t>EHSV zdůrazňuje, že zavedení „zeleného certifikátu“ je vynikajícím společným standardem pro usnadnění administrativních postupů, nelze jej však považovat za klíčový faktor, který urychlí obnovení volného pohybu. Volný pohyb bude i nadále podléhat vnitrostátním omezením, která jsou určována pouze schopnostmi každého státu a kapacitou jeho systému zdravotní péče. Členské státy tedy budou moci i nadále dle vlastního uvážení zavádět opatření vztahující se na osoby cestující do zahraničí (například karanténa nebo domácí izolace, další a opakované testování před příjezdem a/nebo po příjezdu), ačkoli navrhovaný rámec obsahuje několik doporučení, v nichž jsou státy vybízeny, aby ponechaly jen nezbytně nutná omezení.</w:t>
      </w:r>
    </w:p>
    <w:p w:rsidRPr="00634D0F" w:rsidR="00634D0F" w:rsidP="00D60899" w:rsidRDefault="00634D0F" w14:paraId="5B837D8B" w14:textId="77777777"/>
    <w:p w:rsidR="00634D0F" w:rsidP="00834F56" w:rsidRDefault="00634D0F" w14:paraId="72C1631E" w14:textId="775F72B3">
      <w:pPr>
        <w:pStyle w:val="Heading2"/>
        <w:keepNext/>
        <w:keepLines/>
      </w:pPr>
      <w:r>
        <w:lastRenderedPageBreak/>
        <w:t>EHSV zdůrazňuje, že držení zeleného certifikátu by nemělo cestující osvobozovat od dodržování dalších opatření ke snížení rizika, ale mělo by být považováno za přechodnou strategii, kterou země použijí, jestliže bude epidemiologická situace umožňovat uvolnění cestovních omezení, zároveň však bude nezbytné zachovat ochranná opatření v zájmu bezpečnějšího cestování. Panuje nejistota ohledně toho, nakolik jsou očkovací látky účinné z hlediska omezování přenosu nebo vůči určitým mutacím a do jaké míry a po jak dlouhou dobu zprostředkovávají protilátky ochranu před opětovnou nákazou virem SARS-CoV-2. Kromě toho přetrvávají otázky ohledně platnosti testů. EHSV proto důrazně doporučuje, aby byla uplatňována doprovodná opatření na ochranu zdraví cestujících a pracovníků, zejména v uzavřených prostorách a na přeplněných místech.</w:t>
      </w:r>
    </w:p>
    <w:p w:rsidRPr="00634D0F" w:rsidR="00634D0F" w:rsidP="00D60899" w:rsidRDefault="00634D0F" w14:paraId="23C0288D" w14:textId="77777777"/>
    <w:p w:rsidR="00634D0F" w:rsidP="00D60899" w:rsidRDefault="00634D0F" w14:paraId="00046459" w14:textId="331C9EFA">
      <w:pPr>
        <w:pStyle w:val="Heading2"/>
      </w:pPr>
      <w:r>
        <w:t xml:space="preserve">EHSV zdůrazňuje, že je nutné neprodleně přijmout účinná opatření, jako je např. rozsáhlejší koordinace cestovních protokolů mezi zeměmi, aby bylo možné bezpečně obnovit cestovní ruch. Pandemie je globálním problémem a jeho řešení vyžaduje globální přístup a důvěru – individuální řešení přijímaná na úrovni jednotlivých zemí nebudou fungovat. </w:t>
      </w:r>
    </w:p>
    <w:p w:rsidRPr="00634D0F" w:rsidR="00634D0F" w:rsidP="00D60899" w:rsidRDefault="00634D0F" w14:paraId="6C0BABDE" w14:textId="77777777"/>
    <w:p w:rsidR="00634D0F" w:rsidP="00D60899" w:rsidRDefault="00634D0F" w14:paraId="438A53EB" w14:textId="7B745C3C">
      <w:pPr>
        <w:pStyle w:val="Heading2"/>
      </w:pPr>
      <w:r>
        <w:t>EHSV poukazuje na to, že má-li být zelený certifikát účinný, musí být plně interoperabilní, zabezpečený a ověřitelný. Z toho důvodu by všechny evropské země měly spolupracovat, aby co nejdříve dosáhly jednotných rámcových podmínek (tj. obsahu, formátu a technických norem certifikátu a zásad jeho používání). Patří sem rovněž společné standardy pro stanovení toho, jak dlouho budou platné jednotlivé testy a očkovací látky a po jak dlouhou dobu bude platit potvrzení, že je osoba „uzdravena“.</w:t>
      </w:r>
    </w:p>
    <w:p w:rsidRPr="00634D0F" w:rsidR="00634D0F" w:rsidP="00D60899" w:rsidRDefault="00634D0F" w14:paraId="3A03571E" w14:textId="77777777"/>
    <w:p w:rsidR="00634D0F" w:rsidP="00D60899" w:rsidRDefault="00634D0F" w14:paraId="2CC230F2" w14:textId="6D5672C8">
      <w:pPr>
        <w:pStyle w:val="Heading2"/>
        <w:numPr>
          <w:ilvl w:val="0"/>
          <w:numId w:val="0"/>
        </w:numPr>
        <w:ind w:left="567"/>
      </w:pPr>
      <w:r>
        <w:t>EHSV upozorňuje, že cestovní protokoly musí být jasné a použitelné pro mezinárodní leteckou, silniční a námořní dopravu. Je třeba poukázat na to, že za používání zeleného certifikátu nesou společnou odpovědnost pohraniční orgány a dopravci.</w:t>
      </w:r>
    </w:p>
    <w:p w:rsidRPr="00634D0F" w:rsidR="00634D0F" w:rsidP="00D60899" w:rsidRDefault="00634D0F" w14:paraId="287E4856" w14:textId="77777777"/>
    <w:p w:rsidR="00634D0F" w:rsidP="00D60899" w:rsidRDefault="00634D0F" w14:paraId="30DC7BB2" w14:textId="1CFE1876">
      <w:pPr>
        <w:pStyle w:val="Heading2"/>
      </w:pPr>
      <w:r>
        <w:t>Podle EHSV je zelený certifikát navržen tak, aby byl co nejjednodušší, je prováděn jako balíček, je založen na důvěře mezi zúčastněnými zeměmi a po jeho přijetí bude také třeba zavést trvalý mechanismus zajišťující jeho soustavné přehodnocování.</w:t>
      </w:r>
    </w:p>
    <w:p w:rsidRPr="00634D0F" w:rsidR="00634D0F" w:rsidP="00D60899" w:rsidRDefault="00634D0F" w14:paraId="5AFD177F" w14:textId="77777777"/>
    <w:p w:rsidR="00634D0F" w:rsidP="00D60899" w:rsidRDefault="00634D0F" w14:paraId="158235F5" w14:textId="58BB330B">
      <w:pPr>
        <w:pStyle w:val="Heading2"/>
      </w:pPr>
      <w:r>
        <w:t>EHSV se domnívá, že tento systém musí být založen na těchto zásadách: a) smyslem zeleného certifikátu by mělo být snížení dopadu rizika na zbytkovou úroveň, kterou budou vnitrostátní orgány považovat za přijatelnou a která bude v souladu s WHO; b) omezení cestování do zahraničí by měla odpovídat epidemiologické situaci ve výchozí a cílové zemi; c) karanténa by mohla být i nadále nástrojem, který budou moci příslušné orgány případně použít; d) země zapojené do tohoto systému budou uznávat testy, které byly schváleny vnitrostátními orgány jiných zúčastněných zemí; e) je třeba co nejvíce omezit složitost procesů a množství informací shromažďovaných a předávaných přes hranice; f) systém by měl být interoperabilní a založený na společné nomenklatuře a formátu pro předávání informací; g) systém by se měl řídit zásadou „ochrana soukromí již od návrhu“, podle které jsou obsah, způsob sběru, účel sběru a doba uchovávání jakýchkoli nebo všech shromážděných údajů hned na začátku sděleny subjektu údajů.</w:t>
      </w:r>
    </w:p>
    <w:p w:rsidRPr="00634D0F" w:rsidR="00634D0F" w:rsidP="00D60899" w:rsidRDefault="00634D0F" w14:paraId="6B7482BD" w14:textId="77777777"/>
    <w:p w:rsidR="00634D0F" w:rsidP="00834F56" w:rsidRDefault="00634D0F" w14:paraId="3F5CA6C2" w14:textId="01A1EAD9">
      <w:pPr>
        <w:pStyle w:val="Heading2"/>
        <w:keepNext/>
        <w:keepLines/>
      </w:pPr>
      <w:r>
        <w:lastRenderedPageBreak/>
        <w:t xml:space="preserve">Očkovací kampaň a pravidla týkající se očkovacích látek a certifikace zůstávají ve výlučné pravomoci a odpovědnosti vnitrostátních vlád. Žádný členský stát se nerozhodl stanovit povinné očkování (kromě zvláštních případů, jako je Itálie u ošetřovatelského personálu) a zdá se být velmi nepravděpodobné, že tak některý v následujících měsících učiní. </w:t>
      </w:r>
    </w:p>
    <w:p w:rsidRPr="00634D0F" w:rsidR="00634D0F" w:rsidP="00834F56" w:rsidRDefault="00634D0F" w14:paraId="3BBB3164" w14:textId="77777777">
      <w:pPr>
        <w:keepNext/>
        <w:keepLines/>
        <w:ind w:left="567" w:hanging="567"/>
        <w:outlineLvl w:val="1"/>
      </w:pPr>
    </w:p>
    <w:p w:rsidR="00634D0F" w:rsidP="00834F56" w:rsidRDefault="00634D0F" w14:paraId="60764780" w14:textId="0D055208">
      <w:pPr>
        <w:pStyle w:val="Heading2"/>
        <w:keepNext/>
        <w:keepLines/>
        <w:numPr>
          <w:ilvl w:val="0"/>
          <w:numId w:val="0"/>
        </w:numPr>
        <w:ind w:left="567"/>
      </w:pPr>
      <w:r>
        <w:t xml:space="preserve">Všeobecný a spravedlivý přístup k bezpečné a účinné očkovací látce proti onemocnění </w:t>
      </w:r>
      <w:r w:rsidR="00834F56">
        <w:br/>
      </w:r>
      <w:r>
        <w:t>COVID-19 má však zcela zásadní význam pro záchranu životů, ochranu systému veřejné zdravotní péče a oživení ekonomik. EHSV zdůrazňuje potřebu urychlit očkování navýšením výroby očkovacích látek a zajištěním větší transparentnosti a předvídatelnosti, aby bylo možné zaručit prostřednictvím koordinovaného a jednotného přístupu odpovídající počet očkovacích látek v celé EU. Jde rovněž o důležitý předpoklad pro to, aby mohl digitální zelený certifikát fungovat a bylo zaručeno rovné zacházení s občany.</w:t>
      </w:r>
    </w:p>
    <w:p w:rsidRPr="00634D0F" w:rsidR="00634D0F" w:rsidP="00D60899" w:rsidRDefault="00634D0F" w14:paraId="1CC73582" w14:textId="77777777"/>
    <w:p w:rsidR="00634D0F" w:rsidP="00D60899" w:rsidRDefault="00634D0F" w14:paraId="34A1F056" w14:textId="61DAEFA1">
      <w:pPr>
        <w:pStyle w:val="Heading2"/>
      </w:pPr>
      <w:r>
        <w:t xml:space="preserve">Evropské vlády by měly použít prostředky vyčleněné na oživení po pandemii k realizaci programů očkování zaměřených na ty části obyvatelstva, k nimž by jinak bylo obtížné se dostat, jako jsou lidé žijící ve venkovských nebo méně bohatých oblastech vzdálených od nemocnic a klinik. Dále by se mělo zabránit jakékoli diskriminaci etnických menšin. </w:t>
      </w:r>
    </w:p>
    <w:p w:rsidRPr="00634D0F" w:rsidR="00634D0F" w:rsidP="00D60899" w:rsidRDefault="00634D0F" w14:paraId="2727D63F" w14:textId="77777777"/>
    <w:p w:rsidR="00634D0F" w:rsidP="00D60899" w:rsidRDefault="00634D0F" w14:paraId="438DF03A" w14:textId="1A338975">
      <w:pPr>
        <w:pStyle w:val="Heading2"/>
        <w:numPr>
          <w:ilvl w:val="0"/>
          <w:numId w:val="0"/>
        </w:numPr>
        <w:ind w:left="567"/>
      </w:pPr>
      <w:r>
        <w:t>EU by rovněž měla dále investovat do vzdělávacích kampaní o přínosech očkování. Pomohlo by to v boji proti dezinformacím, které lidi odrazují od očkování.</w:t>
      </w:r>
    </w:p>
    <w:p w:rsidRPr="00634D0F" w:rsidR="00634D0F" w:rsidP="00D60899" w:rsidRDefault="00634D0F" w14:paraId="462D0ADF" w14:textId="77777777"/>
    <w:p w:rsidR="00634D0F" w:rsidP="00D60899" w:rsidRDefault="00634D0F" w14:paraId="3745CADF" w14:textId="624EBAC0">
      <w:pPr>
        <w:pStyle w:val="Heading2"/>
      </w:pPr>
      <w:r>
        <w:t xml:space="preserve">EHSV se vyslovuje pro to, aby vlády evropských zemí zajistily levný a snadný přístup k testování (a rychlé oznámení výsledků testů) pro všechny občany, aby se tak zabránilo nerovným omezením svobody pohybu osob, které nebyly naočkovány, zejména s ohledem na možné rozdíly mezi venkovskými a městskými oblastmi. </w:t>
      </w:r>
    </w:p>
    <w:p w:rsidRPr="00634D0F" w:rsidR="00634D0F" w:rsidP="00D60899" w:rsidRDefault="00634D0F" w14:paraId="015F448D" w14:textId="77777777"/>
    <w:p w:rsidR="00634D0F" w:rsidP="00D60899" w:rsidRDefault="00634D0F" w14:paraId="0B8492C6" w14:textId="33152757">
      <w:pPr>
        <w:pStyle w:val="Heading2"/>
      </w:pPr>
      <w:r>
        <w:t>EHSV se domnívá, že je nutné vyjasnit skutečnost, že držení „digitálního zeleného certifikátu“ není podmínkou pro výkon volného pohybu a že navrhované nařízení nezakládá povinnost ani právo na očkování. EHSV zdůrazňuje, že každá forma certifikace imunity vyvolává etické otázky týkající se respektu, individuálních práv a zájmů, odpovědnosti za veřejné zdraví a sociální spravedlnosti. Je nutné náležitě posuzovat a sledovat tento dopad, zejména na sociálně marginalizované a znevýhodněné skupiny.</w:t>
      </w:r>
    </w:p>
    <w:p w:rsidRPr="00634D0F" w:rsidR="00634D0F" w:rsidP="00D60899" w:rsidRDefault="00634D0F" w14:paraId="37B1CE91" w14:textId="77777777"/>
    <w:p w:rsidR="00634D0F" w:rsidP="00D60899" w:rsidRDefault="00634D0F" w14:paraId="77FF6D86" w14:textId="397D19EC">
      <w:pPr>
        <w:pStyle w:val="Heading2"/>
      </w:pPr>
      <w:r>
        <w:t>EHSV zdůrazňuje, že digitální zelený certifikát podporuje tolik potřebné oživení odvětví cestování a cestovního ruchu. Je to také velmi důležitý certifikát pro služební cesty a jakékoli jiné sociální kontakty, které podpoří ekonomiku a kulturní a další společenské akce a bude mít příznivý vliv na (duševní či tělesné) zdraví lidí obecně. Komise a členské státy musí zajistit, aby vystavení certifikátu i jeho aktualizace byly bezplatné, jak je uvedeno v čl. 3 odst. 3. Certifikát by měl být opatřen kódem QR, který pomůže zajistit bezpečnost a věrohodnost, a to v úředním jazyce (či úředních jazycích) vydávajícího členského státu a v angličtině. Certifikát musí být uznáván ve všech členských státech EU, aby bylo možné plně obnovit svobodu pohybu v EU během pandemie COVID-19.</w:t>
      </w:r>
    </w:p>
    <w:p w:rsidRPr="00634D0F" w:rsidR="00634D0F" w:rsidP="00D60899" w:rsidRDefault="00634D0F" w14:paraId="1A225759" w14:textId="77777777"/>
    <w:p w:rsidR="00634D0F" w:rsidP="00E772B9" w:rsidRDefault="00634D0F" w14:paraId="1D19A558" w14:textId="10B620BF">
      <w:pPr>
        <w:pStyle w:val="Heading2"/>
        <w:keepNext/>
        <w:keepLines/>
      </w:pPr>
      <w:r>
        <w:lastRenderedPageBreak/>
        <w:t>EHSV chce upozornit, že digitální zelený certifikát nebude mít využití pouze v cestovním ruchu. Bude rovněž sloužit k usnadnění cestování pro služební účely v rámci Evropy, může však znevýhodňovat jednotlivé pracovníky. EHSV členským státům doporučuje přijmout opatření, která zajistí, aby certifikát nevedl k diskriminaci na pracovišti a neměl dopad na zaměstnatelnost. Kromě toho EHSV varuje před tím, že nařízení může být zneužito k usnadnění vstupu očkovaných osob ze třetích zemí za účelem obsazení pracovních míst se špatnými pracovními podmínkami.</w:t>
      </w:r>
    </w:p>
    <w:p w:rsidRPr="00E772B9" w:rsidR="00634D0F" w:rsidP="00D60899" w:rsidRDefault="00634D0F" w14:paraId="3612F27D" w14:textId="77777777">
      <w:pPr>
        <w:rPr>
          <w:sz w:val="16"/>
          <w:szCs w:val="16"/>
        </w:rPr>
      </w:pPr>
    </w:p>
    <w:p w:rsidR="00634D0F" w:rsidP="00D60899" w:rsidRDefault="00634D0F" w14:paraId="7BE8D797" w14:textId="6C9A49C2">
      <w:pPr>
        <w:pStyle w:val="Heading2"/>
      </w:pPr>
      <w:r>
        <w:t>EHSV dodává, že Komise a členské státy by měly vytvořit digitální infrastrukturu rámce pro důvěryhodnost, která bude umožňovat bezpečné vydávání a ověřování certifikátů, a měly by podporovat členské státy při technickém provádění a v rámci možností zajišťovat interoperabilitu s mezinárodně zavedenými technologickými systémy.</w:t>
      </w:r>
    </w:p>
    <w:p w:rsidRPr="00E772B9" w:rsidR="00634D0F" w:rsidP="00D60899" w:rsidRDefault="00634D0F" w14:paraId="760C8E63" w14:textId="77777777">
      <w:pPr>
        <w:rPr>
          <w:sz w:val="16"/>
          <w:szCs w:val="16"/>
        </w:rPr>
      </w:pPr>
    </w:p>
    <w:p w:rsidR="00634D0F" w:rsidP="00D60899" w:rsidRDefault="00634D0F" w14:paraId="2EA3A5A8" w14:textId="0013D5BE">
      <w:pPr>
        <w:pStyle w:val="Heading2"/>
      </w:pPr>
      <w:r>
        <w:t>EHSV zdůrazňuje, že musí být zajištěna vysoká úroveň ochrany údajů a měly by být dodržovány zásady minimalizace údajů, jelikož osobní údaje zahrnují citlivé lékařské údaje.</w:t>
      </w:r>
    </w:p>
    <w:p w:rsidRPr="00E772B9" w:rsidR="00634D0F" w:rsidP="00D60899" w:rsidRDefault="00634D0F" w14:paraId="13FB8975" w14:textId="77777777">
      <w:pPr>
        <w:rPr>
          <w:sz w:val="16"/>
          <w:szCs w:val="16"/>
        </w:rPr>
      </w:pPr>
    </w:p>
    <w:p w:rsidR="00634D0F" w:rsidP="00D60899" w:rsidRDefault="00634D0F" w14:paraId="5716E3CA" w14:textId="5EC34487">
      <w:pPr>
        <w:pStyle w:val="Heading2"/>
        <w:numPr>
          <w:ilvl w:val="0"/>
          <w:numId w:val="0"/>
        </w:numPr>
        <w:ind w:left="567"/>
      </w:pPr>
      <w:r>
        <w:t>Rámec „digitálního zeleného certifikátu“ nesmí především vyžadovat, aby byla vytvořena a vedena databáze na úrovni EU, nýbrž by měl umožnit decentralizované ověřování digitálně podepsaných interoperabilních certifikátů. Vlády musí rovněž zajistit, aby byly osobní údaje uchovávány v bezpečí a nebyly zpřístupněny nebo zneužity pro jiné účely. Kromě toho musí být příslušné údaje zpracovávány pouze pro účely digitálního zeleného certifikátu a příslušné orgány musí zajistit, aby byly údaje následně vymazány. Pokud má být pro cestování mezi zeměmi vyžadován zelený certifikát, je nezbytné, aby měly všechny členské státy zavedeny interoperabilní systémy se stejně přísnými předpisy v oblasti ochrany údajů a uložily správcům údajů povinnost, aby zpracování jakýchkoli údajů vždy předem konzultovali s vnitrostátním úřadem pro dohled nad ochranou údajů. EHSV doporučuje, aby byli v zájmu zajištění řádného provádění zapojeni odborníci na ochranu údajů na evropské a vnitrostátní úrovni.</w:t>
      </w:r>
    </w:p>
    <w:p w:rsidRPr="00E772B9" w:rsidR="00634D0F" w:rsidP="00D60899" w:rsidRDefault="00634D0F" w14:paraId="0428EA74" w14:textId="77777777">
      <w:pPr>
        <w:rPr>
          <w:sz w:val="16"/>
          <w:szCs w:val="16"/>
        </w:rPr>
      </w:pPr>
    </w:p>
    <w:p w:rsidR="00634D0F" w:rsidP="00D60899" w:rsidRDefault="00634D0F" w14:paraId="482F549D" w14:textId="09051579">
      <w:pPr>
        <w:pStyle w:val="Heading2"/>
      </w:pPr>
      <w:r>
        <w:t>EHSV rovněž varuje, že digitální zelený certifikát může obsahovat citlivé osobní lékařské údaje o cestujících, pokud jde o očkování, protilátky nebo testování. EHSV proto doporučuje, aby byl digitální zelený certifikát koncipován tak, že k těmto informacím bude mít přístup pouze cestující a jakákoli třetí osoba se dozví pouze to, že cestující splňuje danou podmínku.</w:t>
      </w:r>
    </w:p>
    <w:p w:rsidRPr="00E772B9" w:rsidR="00634D0F" w:rsidP="00D60899" w:rsidRDefault="00634D0F" w14:paraId="23156D72" w14:textId="77777777">
      <w:pPr>
        <w:rPr>
          <w:sz w:val="16"/>
          <w:szCs w:val="16"/>
        </w:rPr>
      </w:pPr>
    </w:p>
    <w:p w:rsidR="00634D0F" w:rsidP="00D60899" w:rsidRDefault="00634D0F" w14:paraId="5ACDEDDD" w14:textId="361DFB82">
      <w:pPr>
        <w:pStyle w:val="Heading2"/>
      </w:pPr>
      <w:r>
        <w:t>EHSV je toho názoru, že je třeba doplnit mezi způsoby získání digitálního zeleného certifikátu samotestování a krevní testy na protilátky proti onemocnění COVID-19. Praxe ukázala, že krevní test na protilátky proti onemocnění COVID-19 je stejně relevantní jako certifikát o vyléčení z onemocnění COVID-19.</w:t>
      </w:r>
    </w:p>
    <w:p w:rsidRPr="00E772B9" w:rsidR="00634D0F" w:rsidP="00D60899" w:rsidRDefault="00634D0F" w14:paraId="3746887D" w14:textId="77777777">
      <w:pPr>
        <w:rPr>
          <w:sz w:val="16"/>
          <w:szCs w:val="16"/>
        </w:rPr>
      </w:pPr>
    </w:p>
    <w:p w:rsidR="00890B8B" w:rsidP="00D60899" w:rsidRDefault="00634D0F" w14:paraId="39C4F0AB" w14:textId="4F56D8D0">
      <w:pPr>
        <w:pStyle w:val="Heading2"/>
      </w:pPr>
      <w:r>
        <w:t>Podle EHSV musí být vyjasněno, co se stane s očkovacími látkami, u nichž v současné době provádí agentura EMA průběžný přezkum. Tato otázka je zvlášť důležitá pro země EU, které tyto očkovací látky používají.</w:t>
      </w:r>
    </w:p>
    <w:p w:rsidRPr="00E772B9" w:rsidR="00375C61" w:rsidP="00D60899" w:rsidRDefault="00375C61" w14:paraId="7B853FFE" w14:textId="1072935F">
      <w:pPr>
        <w:rPr>
          <w:sz w:val="16"/>
          <w:szCs w:val="16"/>
        </w:rPr>
      </w:pPr>
    </w:p>
    <w:p w:rsidRPr="00E772B9" w:rsidR="005B2F2B" w:rsidP="00D60899" w:rsidRDefault="005B2F2B" w14:paraId="168C52F2" w14:textId="06C65A14">
      <w:pPr>
        <w:rPr>
          <w:sz w:val="16"/>
          <w:szCs w:val="16"/>
        </w:rPr>
      </w:pPr>
    </w:p>
    <w:p w:rsidRPr="00E772B9" w:rsidR="00834FBD" w:rsidP="00D60899" w:rsidRDefault="00834FBD" w14:paraId="027A6E69" w14:textId="65D97C6D">
      <w:pPr>
        <w:rPr>
          <w:sz w:val="16"/>
          <w:szCs w:val="16"/>
        </w:rPr>
      </w:pPr>
    </w:p>
    <w:p w:rsidRPr="00E772B9" w:rsidR="00834FBD" w:rsidP="00D60899" w:rsidRDefault="00834FBD" w14:paraId="638757FC" w14:textId="77777777">
      <w:pPr>
        <w:rPr>
          <w:sz w:val="16"/>
          <w:szCs w:val="16"/>
        </w:rPr>
      </w:pPr>
    </w:p>
    <w:p w:rsidRPr="00375C61" w:rsidR="00375C61" w:rsidP="00D60899" w:rsidRDefault="00375C61" w14:paraId="63C2BA1E" w14:textId="74678D1A">
      <w:r>
        <w:t>George VERNICOS</w:t>
      </w:r>
    </w:p>
    <w:p w:rsidRPr="007F67A7" w:rsidR="00375C61" w:rsidP="00D60899" w:rsidRDefault="00375C61" w14:paraId="369A3087" w14:textId="406AEEC9">
      <w:r>
        <w:t>hlavní zpravodaj Evropského hospodářského a sociálního výboru</w:t>
      </w:r>
    </w:p>
    <w:p w:rsidRPr="00E772B9" w:rsidR="001B2D02" w:rsidP="00D60899" w:rsidRDefault="001B2D02" w14:paraId="6E522A41" w14:textId="77777777">
      <w:pPr>
        <w:rPr>
          <w:sz w:val="16"/>
          <w:szCs w:val="16"/>
        </w:rPr>
      </w:pPr>
    </w:p>
    <w:p w:rsidRPr="00F1254E" w:rsidR="00646AC2" w:rsidP="00D60899" w:rsidRDefault="00646AC2" w14:paraId="6E522A42" w14:textId="77777777">
      <w:pPr>
        <w:overflowPunct/>
        <w:adjustRightInd/>
        <w:jc w:val="center"/>
        <w:textAlignment w:val="auto"/>
      </w:pPr>
      <w:r>
        <w:t>_____________</w:t>
      </w:r>
    </w:p>
    <w:sectPr w:rsidRPr="00F1254E" w:rsidR="00646AC2" w:rsidSect="00804EDD">
      <w:headerReference w:type="even" r:id="rId19"/>
      <w:headerReference w:type="default" r:id="rId20"/>
      <w:footerReference w:type="even" r:id="rId21"/>
      <w:footerReference w:type="default" r:id="rId22"/>
      <w:headerReference w:type="first" r:id="rId23"/>
      <w:footerReference w:type="first" r:id="rId24"/>
      <w:pgSz w:w="11907" w:h="16839" w:code="9"/>
      <w:pgMar w:top="1417" w:right="1417" w:bottom="1417" w:left="1417" w:header="709" w:footer="709" w:gutter="0"/>
      <w:cols w:space="720"/>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4E217E0" w16cid:durableId="2418A83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FC8717" w14:textId="77777777" w:rsidR="00824456" w:rsidRDefault="00824456">
      <w:r>
        <w:separator/>
      </w:r>
    </w:p>
  </w:endnote>
  <w:endnote w:type="continuationSeparator" w:id="0">
    <w:p w14:paraId="2DE07CE3" w14:textId="77777777" w:rsidR="00824456" w:rsidRDefault="00824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F2923" w14:textId="77777777" w:rsidR="00804EDD" w:rsidRPr="00804EDD" w:rsidRDefault="00804EDD" w:rsidP="00804E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22A4E" w14:textId="5410B531" w:rsidR="0020597F" w:rsidRPr="00804EDD" w:rsidRDefault="00804EDD" w:rsidP="00804EDD">
    <w:pPr>
      <w:pStyle w:val="Footer"/>
    </w:pPr>
    <w:r>
      <w:t xml:space="preserve">SOC/683 – EESC-2021-01771-00-01-PAC-TRA (EN) </w:t>
    </w:r>
    <w:r>
      <w:fldChar w:fldCharType="begin"/>
    </w:r>
    <w:r>
      <w:instrText xml:space="preserve"> PAGE  \* Arabic  \* MERGEFORMAT </w:instrText>
    </w:r>
    <w:r>
      <w:fldChar w:fldCharType="separate"/>
    </w:r>
    <w:r w:rsidR="00A02E8A">
      <w:rPr>
        <w:noProof/>
      </w:rPr>
      <w:t>1</w:t>
    </w:r>
    <w:r>
      <w:fldChar w:fldCharType="end"/>
    </w:r>
    <w:r>
      <w:t>/</w:t>
    </w:r>
    <w:r>
      <w:fldChar w:fldCharType="begin"/>
    </w:r>
    <w:r>
      <w:instrText xml:space="preserve"> = </w:instrText>
    </w:r>
    <w:r w:rsidR="00A02E8A">
      <w:fldChar w:fldCharType="begin"/>
    </w:r>
    <w:r w:rsidR="00A02E8A">
      <w:instrText xml:space="preserve"> NUMPAGES </w:instrText>
    </w:r>
    <w:r w:rsidR="00A02E8A">
      <w:fldChar w:fldCharType="separate"/>
    </w:r>
    <w:r w:rsidR="00A02E8A">
      <w:rPr>
        <w:noProof/>
      </w:rPr>
      <w:instrText>9</w:instrText>
    </w:r>
    <w:r w:rsidR="00A02E8A">
      <w:rPr>
        <w:noProof/>
      </w:rPr>
      <w:fldChar w:fldCharType="end"/>
    </w:r>
    <w:r>
      <w:instrText xml:space="preserve"> -0 </w:instrText>
    </w:r>
    <w:r>
      <w:fldChar w:fldCharType="separate"/>
    </w:r>
    <w:r w:rsidR="00A02E8A">
      <w:rPr>
        <w:noProof/>
      </w:rPr>
      <w:t>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4A42A" w14:textId="77777777" w:rsidR="00804EDD" w:rsidRPr="00804EDD" w:rsidRDefault="00804EDD" w:rsidP="00804ED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22A53" w14:textId="77777777" w:rsidR="0020597F" w:rsidRPr="00804EDD" w:rsidRDefault="0020597F" w:rsidP="00804ED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22A54" w14:textId="4EB6DDE9" w:rsidR="0020597F" w:rsidRPr="00804EDD" w:rsidRDefault="00804EDD" w:rsidP="00804EDD">
    <w:pPr>
      <w:pStyle w:val="Footer"/>
    </w:pPr>
    <w:r>
      <w:t xml:space="preserve">SOC/683 – EESC-2021-01771-00-01-PAC-TRA (EN) </w:t>
    </w:r>
    <w:r>
      <w:fldChar w:fldCharType="begin"/>
    </w:r>
    <w:r>
      <w:instrText xml:space="preserve"> PAGE  \* Arabic  \* MERGEFORMAT </w:instrText>
    </w:r>
    <w:r>
      <w:fldChar w:fldCharType="separate"/>
    </w:r>
    <w:r w:rsidR="00A02E8A">
      <w:rPr>
        <w:noProof/>
      </w:rPr>
      <w:t>9</w:t>
    </w:r>
    <w:r>
      <w:fldChar w:fldCharType="end"/>
    </w:r>
    <w:r>
      <w:t>/</w:t>
    </w:r>
    <w:r>
      <w:fldChar w:fldCharType="begin"/>
    </w:r>
    <w:r>
      <w:instrText xml:space="preserve"> = </w:instrText>
    </w:r>
    <w:r w:rsidR="00A02E8A">
      <w:fldChar w:fldCharType="begin"/>
    </w:r>
    <w:r w:rsidR="00A02E8A">
      <w:instrText xml:space="preserve"> NUMPAGES </w:instrText>
    </w:r>
    <w:r w:rsidR="00A02E8A">
      <w:fldChar w:fldCharType="separate"/>
    </w:r>
    <w:r w:rsidR="00A02E8A">
      <w:rPr>
        <w:noProof/>
      </w:rPr>
      <w:instrText>9</w:instrText>
    </w:r>
    <w:r w:rsidR="00A02E8A">
      <w:rPr>
        <w:noProof/>
      </w:rPr>
      <w:fldChar w:fldCharType="end"/>
    </w:r>
    <w:r>
      <w:instrText xml:space="preserve"> -0 </w:instrText>
    </w:r>
    <w:r>
      <w:fldChar w:fldCharType="separate"/>
    </w:r>
    <w:r w:rsidR="00A02E8A">
      <w:rPr>
        <w:noProof/>
      </w:rPr>
      <w:t>9</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22A56" w14:textId="77777777" w:rsidR="0020597F" w:rsidRPr="00804EDD" w:rsidRDefault="0020597F" w:rsidP="00804E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D0201B" w14:textId="77777777" w:rsidR="00824456" w:rsidRDefault="00824456">
      <w:r>
        <w:separator/>
      </w:r>
    </w:p>
  </w:footnote>
  <w:footnote w:type="continuationSeparator" w:id="0">
    <w:p w14:paraId="38EDC4D8" w14:textId="77777777" w:rsidR="00824456" w:rsidRDefault="00824456">
      <w:r>
        <w:continuationSeparator/>
      </w:r>
    </w:p>
  </w:footnote>
  <w:footnote w:id="1">
    <w:p w14:paraId="58A85006" w14:textId="70AC97EA" w:rsidR="00634D0F" w:rsidRPr="00634D0F" w:rsidRDefault="00634D0F" w:rsidP="00211176">
      <w:pPr>
        <w:pStyle w:val="FootnoteText"/>
        <w:ind w:left="567" w:hanging="567"/>
      </w:pPr>
      <w:r>
        <w:rPr>
          <w:rStyle w:val="FootnoteReference"/>
        </w:rPr>
        <w:footnoteRef/>
      </w:r>
      <w:r>
        <w:tab/>
      </w:r>
      <w:r>
        <w:rPr>
          <w:bCs/>
          <w:color w:val="000000" w:themeColor="text1"/>
          <w:szCs w:val="16"/>
        </w:rPr>
        <w:t>Největší počet příjezdů byl v období 2014–2018 zaznamenán v Evropě, na niž během všech těchto let připadá více než 50 %</w:t>
      </w:r>
      <w:r w:rsidR="00834F56">
        <w:rPr>
          <w:bCs/>
          <w:color w:val="000000" w:themeColor="text1"/>
          <w:szCs w:val="16"/>
        </w:rPr>
        <w:t> </w:t>
      </w:r>
      <w:r>
        <w:rPr>
          <w:bCs/>
          <w:color w:val="000000" w:themeColor="text1"/>
          <w:szCs w:val="16"/>
        </w:rPr>
        <w:t>zahraničních cest na celém světě. Cestování do evropských destinací v období 2014–2018 vzrostlo o +24,3 %.</w:t>
      </w:r>
    </w:p>
  </w:footnote>
  <w:footnote w:id="2">
    <w:p w14:paraId="23FF4E8E" w14:textId="1EE94A32" w:rsidR="00634D0F" w:rsidRPr="00634D0F" w:rsidRDefault="00634D0F" w:rsidP="00211176">
      <w:pPr>
        <w:pStyle w:val="FootnoteText"/>
        <w:ind w:left="567" w:hanging="567"/>
      </w:pPr>
      <w:r>
        <w:rPr>
          <w:rStyle w:val="FootnoteReference"/>
        </w:rPr>
        <w:footnoteRef/>
      </w:r>
      <w:r>
        <w:tab/>
        <w:t>Světová organizace cestovního ruchu, březen 2021.</w:t>
      </w:r>
    </w:p>
  </w:footnote>
  <w:footnote w:id="3">
    <w:p w14:paraId="0013332B" w14:textId="2A5B0539" w:rsidR="00634D0F" w:rsidRPr="00634D0F" w:rsidRDefault="00634D0F" w:rsidP="00211176">
      <w:pPr>
        <w:pStyle w:val="FootnoteText"/>
        <w:ind w:left="567" w:hanging="567"/>
      </w:pPr>
      <w:r>
        <w:rPr>
          <w:rStyle w:val="FootnoteReference"/>
        </w:rPr>
        <w:footnoteRef/>
      </w:r>
      <w:r>
        <w:t xml:space="preserve"> </w:t>
      </w:r>
      <w:r>
        <w:tab/>
        <w:t>Eurostat.</w:t>
      </w:r>
    </w:p>
  </w:footnote>
  <w:footnote w:id="4">
    <w:p w14:paraId="60EC9589" w14:textId="64A5A426" w:rsidR="00634D0F" w:rsidRPr="00634D0F" w:rsidRDefault="00634D0F" w:rsidP="00211176">
      <w:pPr>
        <w:pStyle w:val="FootnoteText"/>
        <w:ind w:left="567" w:hanging="567"/>
      </w:pPr>
      <w:r>
        <w:rPr>
          <w:rStyle w:val="FootnoteReference"/>
        </w:rPr>
        <w:footnoteRef/>
      </w:r>
      <w:r>
        <w:t xml:space="preserve"> </w:t>
      </w:r>
      <w:r>
        <w:tab/>
        <w:t>Na význam nepřímých ztrát v důsledku meziodvětvových vazeb v odvětví cestovního ruchu upozorňuje také Konference OSN o obchodu a rozvoji (UNCTAD). Odhaduje se, že pokles HDP je přibližně dvakrát až třikrát vyšší než bezprostřední pokles příjmů z mezinárodního cestovního ruchu. Ve zprávě UNCTAD se odhaduje, že přímé a nepřímé ztráty světového cestovního ruchu způsobené onemocněním COVID-19 mohou činit přibližně 4 % světového HDP, ale mají v jednotlivých zemích různý dopad podle toho, do jaké míry jsou závislé na cestování a cestovním ruchu.</w:t>
      </w:r>
    </w:p>
  </w:footnote>
  <w:footnote w:id="5">
    <w:p w14:paraId="06F83D87" w14:textId="71D88FA1" w:rsidR="00634D0F" w:rsidRPr="00634D0F" w:rsidRDefault="00634D0F" w:rsidP="00211176">
      <w:pPr>
        <w:pStyle w:val="FootnoteText"/>
        <w:ind w:left="567" w:hanging="567"/>
      </w:pPr>
      <w:r>
        <w:rPr>
          <w:rStyle w:val="FootnoteReference"/>
        </w:rPr>
        <w:footnoteRef/>
      </w:r>
      <w:r>
        <w:t xml:space="preserve"> </w:t>
      </w:r>
      <w:r>
        <w:tab/>
        <w:t>Ekonomický výhled OECD, databáze z prosince 2020 a databáze Světové rady cestování a cestovního ruchu.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B0DF8" w14:textId="77777777" w:rsidR="00804EDD" w:rsidRPr="00804EDD" w:rsidRDefault="00804EDD" w:rsidP="00804E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8EB65" w14:textId="77777777" w:rsidR="00804EDD" w:rsidRPr="00804EDD" w:rsidRDefault="00804EDD" w:rsidP="00804E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9A806" w14:textId="77777777" w:rsidR="00804EDD" w:rsidRPr="00804EDD" w:rsidRDefault="00804EDD" w:rsidP="00804E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22A51" w14:textId="77777777" w:rsidR="0020597F" w:rsidRPr="00804EDD" w:rsidRDefault="0020597F" w:rsidP="00804E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22A52" w14:textId="27A2381A" w:rsidR="0020597F" w:rsidRPr="00804EDD" w:rsidRDefault="0020597F" w:rsidP="00804E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22A55" w14:textId="77777777" w:rsidR="0020597F" w:rsidRPr="00804EDD" w:rsidRDefault="0020597F" w:rsidP="00804E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21278EC"/>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rPr>
        <w:b w:val="0"/>
      </w:rPr>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32D42226"/>
    <w:multiLevelType w:val="hybridMultilevel"/>
    <w:tmpl w:val="7CC89AFE"/>
    <w:lvl w:ilvl="0" w:tplc="658E875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8D72993"/>
    <w:multiLevelType w:val="hybridMultilevel"/>
    <w:tmpl w:val="457C2F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0CA8"/>
    <w:rsid w:val="00005AB9"/>
    <w:rsid w:val="00005EB9"/>
    <w:rsid w:val="00006E24"/>
    <w:rsid w:val="00007A40"/>
    <w:rsid w:val="00017B45"/>
    <w:rsid w:val="00020E6E"/>
    <w:rsid w:val="00031A4B"/>
    <w:rsid w:val="00033913"/>
    <w:rsid w:val="00033DB4"/>
    <w:rsid w:val="00033E5B"/>
    <w:rsid w:val="000357A8"/>
    <w:rsid w:val="000430A6"/>
    <w:rsid w:val="00044923"/>
    <w:rsid w:val="0005249C"/>
    <w:rsid w:val="000534A5"/>
    <w:rsid w:val="0005680D"/>
    <w:rsid w:val="00063FB4"/>
    <w:rsid w:val="0006793E"/>
    <w:rsid w:val="00072E0F"/>
    <w:rsid w:val="000735E5"/>
    <w:rsid w:val="0007392F"/>
    <w:rsid w:val="00087B39"/>
    <w:rsid w:val="00091E83"/>
    <w:rsid w:val="00093DE0"/>
    <w:rsid w:val="00096502"/>
    <w:rsid w:val="000A49BB"/>
    <w:rsid w:val="000A5670"/>
    <w:rsid w:val="000C3441"/>
    <w:rsid w:val="000C7F53"/>
    <w:rsid w:val="000D2F8E"/>
    <w:rsid w:val="000F196B"/>
    <w:rsid w:val="00105361"/>
    <w:rsid w:val="001101F8"/>
    <w:rsid w:val="0011206F"/>
    <w:rsid w:val="0011656A"/>
    <w:rsid w:val="0011770F"/>
    <w:rsid w:val="0012220C"/>
    <w:rsid w:val="0013407E"/>
    <w:rsid w:val="00136EA3"/>
    <w:rsid w:val="00137575"/>
    <w:rsid w:val="00144231"/>
    <w:rsid w:val="00150434"/>
    <w:rsid w:val="00155721"/>
    <w:rsid w:val="001631DD"/>
    <w:rsid w:val="0016503F"/>
    <w:rsid w:val="0016674F"/>
    <w:rsid w:val="00167CA0"/>
    <w:rsid w:val="0017120D"/>
    <w:rsid w:val="001714F6"/>
    <w:rsid w:val="00176168"/>
    <w:rsid w:val="00177158"/>
    <w:rsid w:val="00184FD4"/>
    <w:rsid w:val="00186B04"/>
    <w:rsid w:val="00186F1E"/>
    <w:rsid w:val="00190836"/>
    <w:rsid w:val="00193930"/>
    <w:rsid w:val="00194B36"/>
    <w:rsid w:val="001963A5"/>
    <w:rsid w:val="00196F1E"/>
    <w:rsid w:val="00197FCA"/>
    <w:rsid w:val="001A1B66"/>
    <w:rsid w:val="001A27DB"/>
    <w:rsid w:val="001A6852"/>
    <w:rsid w:val="001B286A"/>
    <w:rsid w:val="001B2D02"/>
    <w:rsid w:val="001B2FF1"/>
    <w:rsid w:val="001B3647"/>
    <w:rsid w:val="001B77FA"/>
    <w:rsid w:val="001C0ABE"/>
    <w:rsid w:val="001C5852"/>
    <w:rsid w:val="001D07A4"/>
    <w:rsid w:val="001D45F0"/>
    <w:rsid w:val="001E1335"/>
    <w:rsid w:val="001E4A33"/>
    <w:rsid w:val="001E5C27"/>
    <w:rsid w:val="001F602B"/>
    <w:rsid w:val="001F6AC8"/>
    <w:rsid w:val="002037D5"/>
    <w:rsid w:val="0020597F"/>
    <w:rsid w:val="00206F90"/>
    <w:rsid w:val="00211176"/>
    <w:rsid w:val="00212B03"/>
    <w:rsid w:val="00215C10"/>
    <w:rsid w:val="00215C2D"/>
    <w:rsid w:val="002252C4"/>
    <w:rsid w:val="0023140A"/>
    <w:rsid w:val="0023182C"/>
    <w:rsid w:val="0023183E"/>
    <w:rsid w:val="00235138"/>
    <w:rsid w:val="002415AC"/>
    <w:rsid w:val="002431AF"/>
    <w:rsid w:val="00243E36"/>
    <w:rsid w:val="0024540B"/>
    <w:rsid w:val="00245EF4"/>
    <w:rsid w:val="00250E11"/>
    <w:rsid w:val="00251383"/>
    <w:rsid w:val="002522C9"/>
    <w:rsid w:val="00252A21"/>
    <w:rsid w:val="00253E4F"/>
    <w:rsid w:val="002542E4"/>
    <w:rsid w:val="00261053"/>
    <w:rsid w:val="00262FDE"/>
    <w:rsid w:val="00263629"/>
    <w:rsid w:val="002769BD"/>
    <w:rsid w:val="002809EA"/>
    <w:rsid w:val="00284962"/>
    <w:rsid w:val="00287B0E"/>
    <w:rsid w:val="0029549C"/>
    <w:rsid w:val="002A0B53"/>
    <w:rsid w:val="002A0EEF"/>
    <w:rsid w:val="002B2DF7"/>
    <w:rsid w:val="002C1D46"/>
    <w:rsid w:val="002C3BF4"/>
    <w:rsid w:val="002C749F"/>
    <w:rsid w:val="002F059B"/>
    <w:rsid w:val="002F35B7"/>
    <w:rsid w:val="002F5B0B"/>
    <w:rsid w:val="00300924"/>
    <w:rsid w:val="0030596E"/>
    <w:rsid w:val="003073C3"/>
    <w:rsid w:val="00323637"/>
    <w:rsid w:val="00324E8A"/>
    <w:rsid w:val="00331D87"/>
    <w:rsid w:val="00332850"/>
    <w:rsid w:val="00334478"/>
    <w:rsid w:val="003346B4"/>
    <w:rsid w:val="00334AE6"/>
    <w:rsid w:val="00335D5D"/>
    <w:rsid w:val="003365D0"/>
    <w:rsid w:val="003439AB"/>
    <w:rsid w:val="00354695"/>
    <w:rsid w:val="0035549B"/>
    <w:rsid w:val="00355563"/>
    <w:rsid w:val="003755C8"/>
    <w:rsid w:val="00375687"/>
    <w:rsid w:val="00375C20"/>
    <w:rsid w:val="00375C61"/>
    <w:rsid w:val="00380AE0"/>
    <w:rsid w:val="00382AA6"/>
    <w:rsid w:val="00383324"/>
    <w:rsid w:val="00386697"/>
    <w:rsid w:val="00387A75"/>
    <w:rsid w:val="003904FD"/>
    <w:rsid w:val="00394254"/>
    <w:rsid w:val="003951A0"/>
    <w:rsid w:val="003B43E0"/>
    <w:rsid w:val="003C2BFB"/>
    <w:rsid w:val="003C436B"/>
    <w:rsid w:val="003C5337"/>
    <w:rsid w:val="003C5F92"/>
    <w:rsid w:val="003D6283"/>
    <w:rsid w:val="003D7A8C"/>
    <w:rsid w:val="003D7C00"/>
    <w:rsid w:val="003E0EB4"/>
    <w:rsid w:val="003E423D"/>
    <w:rsid w:val="003E56E5"/>
    <w:rsid w:val="003E7E60"/>
    <w:rsid w:val="003F00D4"/>
    <w:rsid w:val="003F2209"/>
    <w:rsid w:val="003F3D39"/>
    <w:rsid w:val="003F646A"/>
    <w:rsid w:val="003F6761"/>
    <w:rsid w:val="003F6A0A"/>
    <w:rsid w:val="004024F5"/>
    <w:rsid w:val="00402DE1"/>
    <w:rsid w:val="00403D8B"/>
    <w:rsid w:val="004058F1"/>
    <w:rsid w:val="00407E7D"/>
    <w:rsid w:val="0041283D"/>
    <w:rsid w:val="00413AB4"/>
    <w:rsid w:val="00414F90"/>
    <w:rsid w:val="00421373"/>
    <w:rsid w:val="00421FB7"/>
    <w:rsid w:val="004231B2"/>
    <w:rsid w:val="0042763B"/>
    <w:rsid w:val="0043024C"/>
    <w:rsid w:val="00434BB8"/>
    <w:rsid w:val="00436706"/>
    <w:rsid w:val="00442720"/>
    <w:rsid w:val="00443D38"/>
    <w:rsid w:val="00450E7A"/>
    <w:rsid w:val="00456AF8"/>
    <w:rsid w:val="00470B15"/>
    <w:rsid w:val="00475869"/>
    <w:rsid w:val="00475A77"/>
    <w:rsid w:val="004765AC"/>
    <w:rsid w:val="004801EB"/>
    <w:rsid w:val="00482DDC"/>
    <w:rsid w:val="00483E6C"/>
    <w:rsid w:val="004866A9"/>
    <w:rsid w:val="00492774"/>
    <w:rsid w:val="0049394F"/>
    <w:rsid w:val="00496D7A"/>
    <w:rsid w:val="004A31BC"/>
    <w:rsid w:val="004A3F1A"/>
    <w:rsid w:val="004A3F45"/>
    <w:rsid w:val="004B1AFA"/>
    <w:rsid w:val="004B6047"/>
    <w:rsid w:val="004B7088"/>
    <w:rsid w:val="004B7D95"/>
    <w:rsid w:val="004C1936"/>
    <w:rsid w:val="004C5B76"/>
    <w:rsid w:val="004D02CD"/>
    <w:rsid w:val="004D0B24"/>
    <w:rsid w:val="004D4B90"/>
    <w:rsid w:val="004D59BA"/>
    <w:rsid w:val="004D6B95"/>
    <w:rsid w:val="004D7F41"/>
    <w:rsid w:val="004E03A2"/>
    <w:rsid w:val="004E317E"/>
    <w:rsid w:val="004E3954"/>
    <w:rsid w:val="004E5856"/>
    <w:rsid w:val="004F2330"/>
    <w:rsid w:val="004F53C6"/>
    <w:rsid w:val="004F69DB"/>
    <w:rsid w:val="004F6B87"/>
    <w:rsid w:val="00501C2D"/>
    <w:rsid w:val="00502637"/>
    <w:rsid w:val="005070A0"/>
    <w:rsid w:val="00511140"/>
    <w:rsid w:val="00513CFE"/>
    <w:rsid w:val="0051525C"/>
    <w:rsid w:val="00523B6A"/>
    <w:rsid w:val="00525F6C"/>
    <w:rsid w:val="00546AB4"/>
    <w:rsid w:val="005514E5"/>
    <w:rsid w:val="00563C84"/>
    <w:rsid w:val="005762F6"/>
    <w:rsid w:val="00584FBE"/>
    <w:rsid w:val="00585483"/>
    <w:rsid w:val="00587378"/>
    <w:rsid w:val="00587C05"/>
    <w:rsid w:val="00590AAB"/>
    <w:rsid w:val="005938C3"/>
    <w:rsid w:val="0059468C"/>
    <w:rsid w:val="00595125"/>
    <w:rsid w:val="005957EA"/>
    <w:rsid w:val="00596F21"/>
    <w:rsid w:val="005B1CDD"/>
    <w:rsid w:val="005B1E19"/>
    <w:rsid w:val="005B2F2B"/>
    <w:rsid w:val="005B55FC"/>
    <w:rsid w:val="005C2D5E"/>
    <w:rsid w:val="005C374A"/>
    <w:rsid w:val="005C3B81"/>
    <w:rsid w:val="005C4BDB"/>
    <w:rsid w:val="005C650C"/>
    <w:rsid w:val="005D086C"/>
    <w:rsid w:val="005D11D3"/>
    <w:rsid w:val="005D4E1F"/>
    <w:rsid w:val="005D4FB3"/>
    <w:rsid w:val="005E2F07"/>
    <w:rsid w:val="005E2FEA"/>
    <w:rsid w:val="005E536E"/>
    <w:rsid w:val="005F314B"/>
    <w:rsid w:val="00611AF2"/>
    <w:rsid w:val="00611D2D"/>
    <w:rsid w:val="0061212B"/>
    <w:rsid w:val="006127AF"/>
    <w:rsid w:val="00615FB2"/>
    <w:rsid w:val="00617BD1"/>
    <w:rsid w:val="00617CE8"/>
    <w:rsid w:val="006278A0"/>
    <w:rsid w:val="0063095F"/>
    <w:rsid w:val="00634D0F"/>
    <w:rsid w:val="006438FE"/>
    <w:rsid w:val="006445CF"/>
    <w:rsid w:val="00646AC2"/>
    <w:rsid w:val="00650390"/>
    <w:rsid w:val="00654DAB"/>
    <w:rsid w:val="0066204A"/>
    <w:rsid w:val="00670E3C"/>
    <w:rsid w:val="00675ED3"/>
    <w:rsid w:val="00677F57"/>
    <w:rsid w:val="00681088"/>
    <w:rsid w:val="00685198"/>
    <w:rsid w:val="00690C9F"/>
    <w:rsid w:val="00694FED"/>
    <w:rsid w:val="0069577E"/>
    <w:rsid w:val="0069634B"/>
    <w:rsid w:val="00696623"/>
    <w:rsid w:val="006A04E9"/>
    <w:rsid w:val="006A4A03"/>
    <w:rsid w:val="006A7543"/>
    <w:rsid w:val="006B725C"/>
    <w:rsid w:val="006C273D"/>
    <w:rsid w:val="006C5C4F"/>
    <w:rsid w:val="006C6282"/>
    <w:rsid w:val="006C762A"/>
    <w:rsid w:val="006D10CD"/>
    <w:rsid w:val="006D5FF9"/>
    <w:rsid w:val="006E0772"/>
    <w:rsid w:val="006E0F86"/>
    <w:rsid w:val="006E5F8B"/>
    <w:rsid w:val="006F0B15"/>
    <w:rsid w:val="006F0DCC"/>
    <w:rsid w:val="00703DF9"/>
    <w:rsid w:val="007048EB"/>
    <w:rsid w:val="00704FBB"/>
    <w:rsid w:val="0070726A"/>
    <w:rsid w:val="0071226B"/>
    <w:rsid w:val="00717040"/>
    <w:rsid w:val="00717184"/>
    <w:rsid w:val="0075341F"/>
    <w:rsid w:val="00753772"/>
    <w:rsid w:val="00766CC0"/>
    <w:rsid w:val="00773986"/>
    <w:rsid w:val="007750A2"/>
    <w:rsid w:val="007817D6"/>
    <w:rsid w:val="00787912"/>
    <w:rsid w:val="0079177A"/>
    <w:rsid w:val="00794836"/>
    <w:rsid w:val="007948D5"/>
    <w:rsid w:val="007A15C9"/>
    <w:rsid w:val="007A6676"/>
    <w:rsid w:val="007B7FF5"/>
    <w:rsid w:val="007C3FC6"/>
    <w:rsid w:val="007C5E0F"/>
    <w:rsid w:val="007D2CE9"/>
    <w:rsid w:val="007D4FED"/>
    <w:rsid w:val="007D69DA"/>
    <w:rsid w:val="007D70B1"/>
    <w:rsid w:val="007D7140"/>
    <w:rsid w:val="007E173D"/>
    <w:rsid w:val="007E1C73"/>
    <w:rsid w:val="007E1CDB"/>
    <w:rsid w:val="007E408C"/>
    <w:rsid w:val="007E7E21"/>
    <w:rsid w:val="007F0460"/>
    <w:rsid w:val="007F0DA2"/>
    <w:rsid w:val="007F39CE"/>
    <w:rsid w:val="007F5E0D"/>
    <w:rsid w:val="007F67A7"/>
    <w:rsid w:val="00801085"/>
    <w:rsid w:val="00801A89"/>
    <w:rsid w:val="00804EDD"/>
    <w:rsid w:val="00812138"/>
    <w:rsid w:val="008151F2"/>
    <w:rsid w:val="00816183"/>
    <w:rsid w:val="0081777A"/>
    <w:rsid w:val="008210E0"/>
    <w:rsid w:val="00822381"/>
    <w:rsid w:val="00822BFF"/>
    <w:rsid w:val="00824079"/>
    <w:rsid w:val="00824456"/>
    <w:rsid w:val="00831F0A"/>
    <w:rsid w:val="00833A78"/>
    <w:rsid w:val="00834F56"/>
    <w:rsid w:val="00834FBD"/>
    <w:rsid w:val="0084585F"/>
    <w:rsid w:val="00853E53"/>
    <w:rsid w:val="00855436"/>
    <w:rsid w:val="00864D76"/>
    <w:rsid w:val="008656C9"/>
    <w:rsid w:val="0086711C"/>
    <w:rsid w:val="00867535"/>
    <w:rsid w:val="00875C5B"/>
    <w:rsid w:val="0087778E"/>
    <w:rsid w:val="00883C5F"/>
    <w:rsid w:val="00890B8B"/>
    <w:rsid w:val="00891C7D"/>
    <w:rsid w:val="00892FA7"/>
    <w:rsid w:val="008A3301"/>
    <w:rsid w:val="008A4DF1"/>
    <w:rsid w:val="008A5636"/>
    <w:rsid w:val="008B125E"/>
    <w:rsid w:val="008B241C"/>
    <w:rsid w:val="008B408B"/>
    <w:rsid w:val="008B4F11"/>
    <w:rsid w:val="008C2362"/>
    <w:rsid w:val="008C3049"/>
    <w:rsid w:val="008C7AC6"/>
    <w:rsid w:val="008D4AE9"/>
    <w:rsid w:val="008D4D6F"/>
    <w:rsid w:val="008D5CF3"/>
    <w:rsid w:val="008D62AF"/>
    <w:rsid w:val="008D7D39"/>
    <w:rsid w:val="008E4574"/>
    <w:rsid w:val="008F4016"/>
    <w:rsid w:val="008F42FE"/>
    <w:rsid w:val="008F4A00"/>
    <w:rsid w:val="008F5402"/>
    <w:rsid w:val="0090053A"/>
    <w:rsid w:val="00901C2A"/>
    <w:rsid w:val="009076F9"/>
    <w:rsid w:val="009118C7"/>
    <w:rsid w:val="009201A0"/>
    <w:rsid w:val="009225B6"/>
    <w:rsid w:val="00925397"/>
    <w:rsid w:val="00933A21"/>
    <w:rsid w:val="00934C10"/>
    <w:rsid w:val="0093662A"/>
    <w:rsid w:val="0094060C"/>
    <w:rsid w:val="00955A4A"/>
    <w:rsid w:val="009562B8"/>
    <w:rsid w:val="009606A5"/>
    <w:rsid w:val="00962F1F"/>
    <w:rsid w:val="00965304"/>
    <w:rsid w:val="00971293"/>
    <w:rsid w:val="00973A3B"/>
    <w:rsid w:val="00983EAE"/>
    <w:rsid w:val="0098760B"/>
    <w:rsid w:val="009A11DD"/>
    <w:rsid w:val="009B30AA"/>
    <w:rsid w:val="009B5217"/>
    <w:rsid w:val="009C4798"/>
    <w:rsid w:val="009C48DE"/>
    <w:rsid w:val="009C7D8F"/>
    <w:rsid w:val="009D2A28"/>
    <w:rsid w:val="009E1E1E"/>
    <w:rsid w:val="009E33E3"/>
    <w:rsid w:val="009E7F16"/>
    <w:rsid w:val="009F5052"/>
    <w:rsid w:val="00A02E8A"/>
    <w:rsid w:val="00A04C85"/>
    <w:rsid w:val="00A100F0"/>
    <w:rsid w:val="00A156E6"/>
    <w:rsid w:val="00A16C15"/>
    <w:rsid w:val="00A27D86"/>
    <w:rsid w:val="00A316C0"/>
    <w:rsid w:val="00A33151"/>
    <w:rsid w:val="00A36970"/>
    <w:rsid w:val="00A41EB4"/>
    <w:rsid w:val="00A44BFF"/>
    <w:rsid w:val="00A501E3"/>
    <w:rsid w:val="00A50F0C"/>
    <w:rsid w:val="00A56441"/>
    <w:rsid w:val="00A66D2F"/>
    <w:rsid w:val="00A736DD"/>
    <w:rsid w:val="00A82869"/>
    <w:rsid w:val="00A86DEB"/>
    <w:rsid w:val="00A8758C"/>
    <w:rsid w:val="00A87CF0"/>
    <w:rsid w:val="00A94BEE"/>
    <w:rsid w:val="00A95D28"/>
    <w:rsid w:val="00AA127E"/>
    <w:rsid w:val="00AA19AE"/>
    <w:rsid w:val="00AA423D"/>
    <w:rsid w:val="00AA6A95"/>
    <w:rsid w:val="00AB10DE"/>
    <w:rsid w:val="00AB3668"/>
    <w:rsid w:val="00AB5ED7"/>
    <w:rsid w:val="00AC0B4C"/>
    <w:rsid w:val="00AC27F5"/>
    <w:rsid w:val="00AD0AEE"/>
    <w:rsid w:val="00AD49E3"/>
    <w:rsid w:val="00AD4B4F"/>
    <w:rsid w:val="00AF0616"/>
    <w:rsid w:val="00AF0E28"/>
    <w:rsid w:val="00AF4F34"/>
    <w:rsid w:val="00AF6F9B"/>
    <w:rsid w:val="00B01409"/>
    <w:rsid w:val="00B10DBD"/>
    <w:rsid w:val="00B15629"/>
    <w:rsid w:val="00B2372C"/>
    <w:rsid w:val="00B32F70"/>
    <w:rsid w:val="00B373D0"/>
    <w:rsid w:val="00B40C78"/>
    <w:rsid w:val="00B43AAA"/>
    <w:rsid w:val="00B53139"/>
    <w:rsid w:val="00B562CE"/>
    <w:rsid w:val="00B60B84"/>
    <w:rsid w:val="00B6129D"/>
    <w:rsid w:val="00B62DE2"/>
    <w:rsid w:val="00B74417"/>
    <w:rsid w:val="00B77246"/>
    <w:rsid w:val="00B866CD"/>
    <w:rsid w:val="00B93034"/>
    <w:rsid w:val="00B97C5D"/>
    <w:rsid w:val="00BA1290"/>
    <w:rsid w:val="00BA3101"/>
    <w:rsid w:val="00BB2792"/>
    <w:rsid w:val="00BB76BF"/>
    <w:rsid w:val="00BC1AD1"/>
    <w:rsid w:val="00BC4A58"/>
    <w:rsid w:val="00BC5BA7"/>
    <w:rsid w:val="00BC613B"/>
    <w:rsid w:val="00BD51D9"/>
    <w:rsid w:val="00BD5C76"/>
    <w:rsid w:val="00BD64E2"/>
    <w:rsid w:val="00BE4995"/>
    <w:rsid w:val="00BF429A"/>
    <w:rsid w:val="00BF5BD6"/>
    <w:rsid w:val="00BF62BE"/>
    <w:rsid w:val="00C07126"/>
    <w:rsid w:val="00C16853"/>
    <w:rsid w:val="00C17063"/>
    <w:rsid w:val="00C263F0"/>
    <w:rsid w:val="00C33D41"/>
    <w:rsid w:val="00C40106"/>
    <w:rsid w:val="00C40AFD"/>
    <w:rsid w:val="00C41E20"/>
    <w:rsid w:val="00C42E3E"/>
    <w:rsid w:val="00C51C13"/>
    <w:rsid w:val="00C525A5"/>
    <w:rsid w:val="00C5300F"/>
    <w:rsid w:val="00C66CE0"/>
    <w:rsid w:val="00C71BED"/>
    <w:rsid w:val="00C747C0"/>
    <w:rsid w:val="00C81B53"/>
    <w:rsid w:val="00C82AD2"/>
    <w:rsid w:val="00C83F8F"/>
    <w:rsid w:val="00C90FB6"/>
    <w:rsid w:val="00C9220E"/>
    <w:rsid w:val="00C932BD"/>
    <w:rsid w:val="00C93429"/>
    <w:rsid w:val="00CA16C5"/>
    <w:rsid w:val="00CA415A"/>
    <w:rsid w:val="00CA7A35"/>
    <w:rsid w:val="00CB1536"/>
    <w:rsid w:val="00CB596B"/>
    <w:rsid w:val="00CB5F3C"/>
    <w:rsid w:val="00CB6F8E"/>
    <w:rsid w:val="00CB7FB8"/>
    <w:rsid w:val="00CC1F71"/>
    <w:rsid w:val="00CC5EB3"/>
    <w:rsid w:val="00CD0E7B"/>
    <w:rsid w:val="00CD2ABD"/>
    <w:rsid w:val="00CD4024"/>
    <w:rsid w:val="00CD4617"/>
    <w:rsid w:val="00CD4855"/>
    <w:rsid w:val="00CE6D43"/>
    <w:rsid w:val="00CE7888"/>
    <w:rsid w:val="00D10E1C"/>
    <w:rsid w:val="00D14774"/>
    <w:rsid w:val="00D161A3"/>
    <w:rsid w:val="00D21B1F"/>
    <w:rsid w:val="00D22E49"/>
    <w:rsid w:val="00D23716"/>
    <w:rsid w:val="00D25ED8"/>
    <w:rsid w:val="00D27F8F"/>
    <w:rsid w:val="00D316B8"/>
    <w:rsid w:val="00D31CFC"/>
    <w:rsid w:val="00D3255D"/>
    <w:rsid w:val="00D340C3"/>
    <w:rsid w:val="00D409CD"/>
    <w:rsid w:val="00D423D4"/>
    <w:rsid w:val="00D42CAF"/>
    <w:rsid w:val="00D44EE1"/>
    <w:rsid w:val="00D4763B"/>
    <w:rsid w:val="00D53136"/>
    <w:rsid w:val="00D552DE"/>
    <w:rsid w:val="00D601EF"/>
    <w:rsid w:val="00D60899"/>
    <w:rsid w:val="00D61533"/>
    <w:rsid w:val="00D63B2F"/>
    <w:rsid w:val="00D70747"/>
    <w:rsid w:val="00D7261D"/>
    <w:rsid w:val="00D75592"/>
    <w:rsid w:val="00D755FC"/>
    <w:rsid w:val="00D76B6D"/>
    <w:rsid w:val="00D81208"/>
    <w:rsid w:val="00D84D07"/>
    <w:rsid w:val="00D8526A"/>
    <w:rsid w:val="00D90E91"/>
    <w:rsid w:val="00DA300D"/>
    <w:rsid w:val="00DA4A14"/>
    <w:rsid w:val="00DB53C1"/>
    <w:rsid w:val="00DC1347"/>
    <w:rsid w:val="00DC39F1"/>
    <w:rsid w:val="00DD0D5D"/>
    <w:rsid w:val="00DE4B35"/>
    <w:rsid w:val="00DE6DAE"/>
    <w:rsid w:val="00DF19C1"/>
    <w:rsid w:val="00DF54CA"/>
    <w:rsid w:val="00DF5B64"/>
    <w:rsid w:val="00E02794"/>
    <w:rsid w:val="00E043E3"/>
    <w:rsid w:val="00E0505B"/>
    <w:rsid w:val="00E11280"/>
    <w:rsid w:val="00E12359"/>
    <w:rsid w:val="00E152FF"/>
    <w:rsid w:val="00E21AC3"/>
    <w:rsid w:val="00E2461B"/>
    <w:rsid w:val="00E24886"/>
    <w:rsid w:val="00E276FB"/>
    <w:rsid w:val="00E315E5"/>
    <w:rsid w:val="00E32595"/>
    <w:rsid w:val="00E33A74"/>
    <w:rsid w:val="00E4030B"/>
    <w:rsid w:val="00E41D56"/>
    <w:rsid w:val="00E457DF"/>
    <w:rsid w:val="00E46642"/>
    <w:rsid w:val="00E5139A"/>
    <w:rsid w:val="00E5413D"/>
    <w:rsid w:val="00E57977"/>
    <w:rsid w:val="00E635D7"/>
    <w:rsid w:val="00E70576"/>
    <w:rsid w:val="00E772B9"/>
    <w:rsid w:val="00E801EA"/>
    <w:rsid w:val="00E83954"/>
    <w:rsid w:val="00E91730"/>
    <w:rsid w:val="00E96F04"/>
    <w:rsid w:val="00E97AEC"/>
    <w:rsid w:val="00EA20FE"/>
    <w:rsid w:val="00EB491E"/>
    <w:rsid w:val="00EB681B"/>
    <w:rsid w:val="00EC4FAD"/>
    <w:rsid w:val="00EE3CFA"/>
    <w:rsid w:val="00EE69E4"/>
    <w:rsid w:val="00EF2A7F"/>
    <w:rsid w:val="00EF7E90"/>
    <w:rsid w:val="00F002B6"/>
    <w:rsid w:val="00F10AFE"/>
    <w:rsid w:val="00F1254E"/>
    <w:rsid w:val="00F15C6C"/>
    <w:rsid w:val="00F17173"/>
    <w:rsid w:val="00F224DC"/>
    <w:rsid w:val="00F2687F"/>
    <w:rsid w:val="00F27F29"/>
    <w:rsid w:val="00F32D54"/>
    <w:rsid w:val="00F36C54"/>
    <w:rsid w:val="00F418EA"/>
    <w:rsid w:val="00F41A29"/>
    <w:rsid w:val="00F43F5A"/>
    <w:rsid w:val="00F44C1C"/>
    <w:rsid w:val="00F50107"/>
    <w:rsid w:val="00F518DF"/>
    <w:rsid w:val="00F544DB"/>
    <w:rsid w:val="00F61249"/>
    <w:rsid w:val="00F6502E"/>
    <w:rsid w:val="00F65663"/>
    <w:rsid w:val="00F7506E"/>
    <w:rsid w:val="00F756C0"/>
    <w:rsid w:val="00F75A40"/>
    <w:rsid w:val="00F77637"/>
    <w:rsid w:val="00F8435D"/>
    <w:rsid w:val="00F87DD0"/>
    <w:rsid w:val="00F93360"/>
    <w:rsid w:val="00F93FE4"/>
    <w:rsid w:val="00F969AD"/>
    <w:rsid w:val="00F97E4E"/>
    <w:rsid w:val="00FA217B"/>
    <w:rsid w:val="00FA6321"/>
    <w:rsid w:val="00FB0BC5"/>
    <w:rsid w:val="00FB0BCC"/>
    <w:rsid w:val="00FC0FE5"/>
    <w:rsid w:val="00FC48B7"/>
    <w:rsid w:val="00FD1ABC"/>
    <w:rsid w:val="00FD7DDF"/>
    <w:rsid w:val="00FE4C92"/>
    <w:rsid w:val="00FE6410"/>
    <w:rsid w:val="00FF0FAA"/>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6E5229C7"/>
  <w15:docId w15:val="{AC2B3724-6CFF-4A04-A89F-CA60C5B427F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16C0"/>
    <w:pPr>
      <w:overflowPunct w:val="0"/>
      <w:autoSpaceDE w:val="0"/>
      <w:autoSpaceDN w:val="0"/>
      <w:adjustRightInd w:val="0"/>
      <w:spacing w:line="288" w:lineRule="auto"/>
      <w:jc w:val="both"/>
      <w:textAlignment w:val="baseline"/>
    </w:pPr>
    <w:rPr>
      <w:szCs w:val="20"/>
      <w:lang w:eastAsia="en-US" w:bidi="ar-SA"/>
    </w:rPr>
  </w:style>
  <w:style w:type="paragraph" w:styleId="Heading1">
    <w:name w:val="heading 1"/>
    <w:basedOn w:val="Normal"/>
    <w:next w:val="Normal"/>
    <w:link w:val="Heading1Char"/>
    <w:qFormat/>
    <w:rsid w:val="00A86DEB"/>
    <w:pPr>
      <w:keepNext/>
      <w:numPr>
        <w:numId w:val="1"/>
      </w:numPr>
      <w:ind w:left="567" w:hanging="567"/>
      <w:outlineLvl w:val="0"/>
    </w:pPr>
    <w:rPr>
      <w:b/>
      <w:kern w:val="28"/>
    </w:rPr>
  </w:style>
  <w:style w:type="paragraph" w:styleId="Heading2">
    <w:name w:val="heading 2"/>
    <w:basedOn w:val="Normal"/>
    <w:next w:val="Normal"/>
    <w:link w:val="Heading2Char"/>
    <w:qFormat/>
    <w:rsid w:val="00A86DEB"/>
    <w:pPr>
      <w:numPr>
        <w:ilvl w:val="1"/>
        <w:numId w:val="1"/>
      </w:numPr>
      <w:ind w:left="567" w:hanging="567"/>
      <w:outlineLvl w:val="1"/>
    </w:pPr>
  </w:style>
  <w:style w:type="paragraph" w:styleId="Heading3">
    <w:name w:val="heading 3"/>
    <w:basedOn w:val="Normal"/>
    <w:next w:val="Normal"/>
    <w:link w:val="Heading3Char"/>
    <w:qFormat/>
    <w:rsid w:val="00A316C0"/>
    <w:pPr>
      <w:numPr>
        <w:ilvl w:val="2"/>
        <w:numId w:val="1"/>
      </w:numPr>
      <w:ind w:left="720" w:hanging="720"/>
      <w:outlineLvl w:val="2"/>
    </w:pPr>
  </w:style>
  <w:style w:type="paragraph" w:styleId="Heading4">
    <w:name w:val="heading 4"/>
    <w:basedOn w:val="Normal"/>
    <w:next w:val="Normal"/>
    <w:link w:val="Heading4Char"/>
    <w:qFormat/>
    <w:rsid w:val="00A316C0"/>
    <w:pPr>
      <w:numPr>
        <w:ilvl w:val="3"/>
        <w:numId w:val="1"/>
      </w:numPr>
      <w:ind w:left="720" w:hanging="720"/>
      <w:outlineLvl w:val="3"/>
    </w:pPr>
  </w:style>
  <w:style w:type="paragraph" w:styleId="Heading5">
    <w:name w:val="heading 5"/>
    <w:basedOn w:val="Normal"/>
    <w:next w:val="Normal"/>
    <w:link w:val="Heading5Char"/>
    <w:qFormat/>
    <w:rsid w:val="00A316C0"/>
    <w:pPr>
      <w:numPr>
        <w:ilvl w:val="4"/>
        <w:numId w:val="1"/>
      </w:numPr>
      <w:ind w:left="720" w:hanging="720"/>
      <w:outlineLvl w:val="4"/>
    </w:pPr>
  </w:style>
  <w:style w:type="paragraph" w:styleId="Heading6">
    <w:name w:val="heading 6"/>
    <w:basedOn w:val="Normal"/>
    <w:next w:val="Normal"/>
    <w:link w:val="Heading6Char"/>
    <w:qFormat/>
    <w:rsid w:val="00A316C0"/>
    <w:pPr>
      <w:numPr>
        <w:ilvl w:val="5"/>
        <w:numId w:val="1"/>
      </w:numPr>
      <w:ind w:left="720" w:hanging="720"/>
      <w:outlineLvl w:val="5"/>
    </w:pPr>
  </w:style>
  <w:style w:type="paragraph" w:styleId="Heading7">
    <w:name w:val="heading 7"/>
    <w:basedOn w:val="Normal"/>
    <w:next w:val="Normal"/>
    <w:link w:val="Heading7Char"/>
    <w:qFormat/>
    <w:rsid w:val="00A316C0"/>
    <w:pPr>
      <w:numPr>
        <w:ilvl w:val="6"/>
        <w:numId w:val="1"/>
      </w:numPr>
      <w:ind w:left="720" w:hanging="720"/>
      <w:outlineLvl w:val="6"/>
    </w:pPr>
  </w:style>
  <w:style w:type="paragraph" w:styleId="Heading8">
    <w:name w:val="heading 8"/>
    <w:basedOn w:val="Normal"/>
    <w:next w:val="Normal"/>
    <w:link w:val="Heading8Char"/>
    <w:qFormat/>
    <w:rsid w:val="00A316C0"/>
    <w:pPr>
      <w:numPr>
        <w:ilvl w:val="7"/>
        <w:numId w:val="1"/>
      </w:numPr>
      <w:ind w:left="720" w:hanging="720"/>
      <w:outlineLvl w:val="7"/>
    </w:pPr>
  </w:style>
  <w:style w:type="paragraph" w:styleId="Heading9">
    <w:name w:val="heading 9"/>
    <w:basedOn w:val="Normal"/>
    <w:next w:val="Normal"/>
    <w:link w:val="Heading9Char"/>
    <w:qFormat/>
    <w:rsid w:val="00A316C0"/>
    <w:pPr>
      <w:numPr>
        <w:ilvl w:val="8"/>
        <w:numId w:val="1"/>
      </w:numPr>
      <w:ind w:left="72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A86DEB"/>
    <w:rPr>
      <w:b/>
      <w:kern w:val="28"/>
      <w:szCs w:val="20"/>
      <w:lang w:eastAsia="en-US" w:bidi="ar-SA"/>
    </w:rPr>
  </w:style>
  <w:style w:type="character" w:customStyle="1" w:styleId="Heading2Char">
    <w:name w:val="Heading 2 Char"/>
    <w:basedOn w:val="DefaultParagraphFont"/>
    <w:link w:val="Heading2"/>
    <w:locked/>
    <w:rsid w:val="00A86DEB"/>
    <w:rPr>
      <w:szCs w:val="20"/>
      <w:lang w:eastAsia="en-US" w:bidi="ar-SA"/>
    </w:rPr>
  </w:style>
  <w:style w:type="character" w:customStyle="1" w:styleId="Heading3Char">
    <w:name w:val="Heading 3 Char"/>
    <w:basedOn w:val="DefaultParagraphFont"/>
    <w:link w:val="Heading3"/>
    <w:locked/>
    <w:rsid w:val="00CB1536"/>
    <w:rPr>
      <w:szCs w:val="20"/>
      <w:lang w:eastAsia="en-US" w:bidi="ar-SA"/>
    </w:rPr>
  </w:style>
  <w:style w:type="character" w:customStyle="1" w:styleId="Heading4Char">
    <w:name w:val="Heading 4 Char"/>
    <w:basedOn w:val="DefaultParagraphFont"/>
    <w:link w:val="Heading4"/>
    <w:locked/>
    <w:rsid w:val="00CB1536"/>
    <w:rPr>
      <w:szCs w:val="20"/>
      <w:lang w:eastAsia="en-US" w:bidi="ar-SA"/>
    </w:rPr>
  </w:style>
  <w:style w:type="character" w:customStyle="1" w:styleId="Heading5Char">
    <w:name w:val="Heading 5 Char"/>
    <w:basedOn w:val="DefaultParagraphFont"/>
    <w:link w:val="Heading5"/>
    <w:locked/>
    <w:rsid w:val="00CB1536"/>
    <w:rPr>
      <w:szCs w:val="20"/>
      <w:lang w:eastAsia="en-US" w:bidi="ar-SA"/>
    </w:rPr>
  </w:style>
  <w:style w:type="character" w:customStyle="1" w:styleId="Heading6Char">
    <w:name w:val="Heading 6 Char"/>
    <w:basedOn w:val="DefaultParagraphFont"/>
    <w:link w:val="Heading6"/>
    <w:locked/>
    <w:rsid w:val="00CB1536"/>
    <w:rPr>
      <w:szCs w:val="20"/>
      <w:lang w:eastAsia="en-US" w:bidi="ar-SA"/>
    </w:rPr>
  </w:style>
  <w:style w:type="character" w:customStyle="1" w:styleId="Heading7Char">
    <w:name w:val="Heading 7 Char"/>
    <w:basedOn w:val="DefaultParagraphFont"/>
    <w:link w:val="Heading7"/>
    <w:locked/>
    <w:rsid w:val="00CB1536"/>
    <w:rPr>
      <w:szCs w:val="20"/>
      <w:lang w:eastAsia="en-US" w:bidi="ar-SA"/>
    </w:rPr>
  </w:style>
  <w:style w:type="character" w:customStyle="1" w:styleId="Heading8Char">
    <w:name w:val="Heading 8 Char"/>
    <w:basedOn w:val="DefaultParagraphFont"/>
    <w:link w:val="Heading8"/>
    <w:locked/>
    <w:rsid w:val="00CB1536"/>
    <w:rPr>
      <w:szCs w:val="20"/>
      <w:lang w:eastAsia="en-US" w:bidi="ar-SA"/>
    </w:rPr>
  </w:style>
  <w:style w:type="character" w:customStyle="1" w:styleId="Heading9Char">
    <w:name w:val="Heading 9 Char"/>
    <w:basedOn w:val="DefaultParagraphFont"/>
    <w:link w:val="Heading9"/>
    <w:locked/>
    <w:rsid w:val="00CB1536"/>
    <w:rPr>
      <w:szCs w:val="20"/>
      <w:lang w:eastAsia="en-US" w:bidi="ar-SA"/>
    </w:rPr>
  </w:style>
  <w:style w:type="paragraph" w:styleId="Footer">
    <w:name w:val="footer"/>
    <w:basedOn w:val="Normal"/>
    <w:link w:val="FooterChar"/>
    <w:rsid w:val="00A316C0"/>
  </w:style>
  <w:style w:type="character" w:customStyle="1" w:styleId="FooterChar">
    <w:name w:val="Footer Char"/>
    <w:basedOn w:val="DefaultParagraphFont"/>
    <w:link w:val="Footer"/>
    <w:locked/>
    <w:rsid w:val="00CB1536"/>
    <w:rPr>
      <w:szCs w:val="20"/>
      <w:lang w:eastAsia="en-US" w:bidi="ar-SA"/>
    </w:rPr>
  </w:style>
  <w:style w:type="paragraph" w:styleId="FootnoteText">
    <w:name w:val="footnote text"/>
    <w:basedOn w:val="Normal"/>
    <w:link w:val="FootnoteTextChar"/>
    <w:qFormat/>
    <w:rsid w:val="00A316C0"/>
    <w:pPr>
      <w:keepLines/>
      <w:spacing w:after="60" w:line="240" w:lineRule="auto"/>
      <w:ind w:left="720" w:hanging="720"/>
    </w:pPr>
    <w:rPr>
      <w:sz w:val="16"/>
    </w:rPr>
  </w:style>
  <w:style w:type="character" w:customStyle="1" w:styleId="FootnoteTextChar">
    <w:name w:val="Footnote Text Char"/>
    <w:basedOn w:val="DefaultParagraphFont"/>
    <w:link w:val="FootnoteText"/>
    <w:locked/>
    <w:rsid w:val="00CB1536"/>
    <w:rPr>
      <w:sz w:val="16"/>
      <w:szCs w:val="20"/>
      <w:lang w:eastAsia="en-US" w:bidi="ar-SA"/>
    </w:rPr>
  </w:style>
  <w:style w:type="paragraph" w:styleId="Header">
    <w:name w:val="header"/>
    <w:basedOn w:val="Normal"/>
    <w:link w:val="HeaderChar"/>
    <w:rsid w:val="00A316C0"/>
  </w:style>
  <w:style w:type="character" w:customStyle="1" w:styleId="HeaderChar">
    <w:name w:val="Header Char"/>
    <w:basedOn w:val="DefaultParagraphFont"/>
    <w:link w:val="Header"/>
    <w:locked/>
    <w:rsid w:val="00CB1536"/>
    <w:rPr>
      <w:szCs w:val="20"/>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qFormat/>
    <w:rsid w:val="00A316C0"/>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CB5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5F3C"/>
    <w:rPr>
      <w:rFonts w:ascii="Tahoma" w:hAnsi="Tahoma" w:cs="Tahoma"/>
      <w:sz w:val="16"/>
      <w:szCs w:val="16"/>
      <w:lang w:eastAsia="en-US" w:bidi="ar-SA"/>
    </w:rPr>
  </w:style>
  <w:style w:type="paragraph" w:styleId="ListParagraph">
    <w:name w:val="List Paragraph"/>
    <w:basedOn w:val="Normal"/>
    <w:uiPriority w:val="34"/>
    <w:qFormat/>
    <w:rsid w:val="00890B8B"/>
    <w:pPr>
      <w:ind w:left="720"/>
      <w:contextualSpacing/>
    </w:pPr>
  </w:style>
  <w:style w:type="character" w:styleId="CommentReference">
    <w:name w:val="annotation reference"/>
    <w:basedOn w:val="DefaultParagraphFont"/>
    <w:semiHidden/>
    <w:unhideWhenUsed/>
    <w:rsid w:val="00F1254E"/>
    <w:rPr>
      <w:sz w:val="16"/>
      <w:szCs w:val="16"/>
    </w:rPr>
  </w:style>
  <w:style w:type="paragraph" w:styleId="CommentText">
    <w:name w:val="annotation text"/>
    <w:basedOn w:val="Normal"/>
    <w:link w:val="CommentTextChar"/>
    <w:semiHidden/>
    <w:unhideWhenUsed/>
    <w:rsid w:val="00F1254E"/>
    <w:pPr>
      <w:spacing w:line="240" w:lineRule="auto"/>
    </w:pPr>
    <w:rPr>
      <w:sz w:val="20"/>
    </w:rPr>
  </w:style>
  <w:style w:type="character" w:customStyle="1" w:styleId="CommentTextChar">
    <w:name w:val="Comment Text Char"/>
    <w:basedOn w:val="DefaultParagraphFont"/>
    <w:link w:val="CommentText"/>
    <w:semiHidden/>
    <w:rsid w:val="00F1254E"/>
    <w:rPr>
      <w:sz w:val="20"/>
      <w:szCs w:val="20"/>
      <w:lang w:eastAsia="en-US" w:bidi="ar-SA"/>
    </w:rPr>
  </w:style>
  <w:style w:type="paragraph" w:styleId="CommentSubject">
    <w:name w:val="annotation subject"/>
    <w:basedOn w:val="CommentText"/>
    <w:next w:val="CommentText"/>
    <w:link w:val="CommentSubjectChar"/>
    <w:uiPriority w:val="99"/>
    <w:semiHidden/>
    <w:unhideWhenUsed/>
    <w:rsid w:val="00F1254E"/>
    <w:rPr>
      <w:b/>
      <w:bCs/>
    </w:rPr>
  </w:style>
  <w:style w:type="character" w:customStyle="1" w:styleId="CommentSubjectChar">
    <w:name w:val="Comment Subject Char"/>
    <w:basedOn w:val="CommentTextChar"/>
    <w:link w:val="CommentSubject"/>
    <w:uiPriority w:val="99"/>
    <w:semiHidden/>
    <w:rsid w:val="00F1254E"/>
    <w:rPr>
      <w:b/>
      <w:bCs/>
      <w:sz w:val="20"/>
      <w:szCs w:val="20"/>
      <w:lang w:eastAsia="en-US" w:bidi="ar-SA"/>
    </w:rPr>
  </w:style>
  <w:style w:type="paragraph" w:styleId="NormalWeb">
    <w:name w:val="Normal (Web)"/>
    <w:basedOn w:val="Normal"/>
    <w:uiPriority w:val="99"/>
    <w:unhideWhenUsed/>
    <w:rsid w:val="00A86DEB"/>
    <w:pPr>
      <w:overflowPunct/>
      <w:autoSpaceDE/>
      <w:autoSpaceDN/>
      <w:adjustRightInd/>
      <w:spacing w:before="100" w:beforeAutospacing="1" w:after="100" w:afterAutospacing="1" w:line="240" w:lineRule="auto"/>
      <w:jc w:val="left"/>
      <w:textAlignment w:val="auto"/>
    </w:pPr>
    <w:rPr>
      <w:rFonts w:eastAsiaTheme="minorHAnsi"/>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83723">
      <w:bodyDiv w:val="1"/>
      <w:marLeft w:val="0"/>
      <w:marRight w:val="0"/>
      <w:marTop w:val="0"/>
      <w:marBottom w:val="0"/>
      <w:divBdr>
        <w:top w:val="none" w:sz="0" w:space="0" w:color="auto"/>
        <w:left w:val="none" w:sz="0" w:space="0" w:color="auto"/>
        <w:bottom w:val="none" w:sz="0" w:space="0" w:color="auto"/>
        <w:right w:val="none" w:sz="0" w:space="0" w:color="auto"/>
      </w:divBdr>
    </w:div>
    <w:div w:id="522128897">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94727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eader" Target="header3.xml"/><Relationship Id="rId25" Type="http://schemas.openxmlformats.org/officeDocument/2006/relationships/fontTable" Target="fontTable.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customXml" Target="../customXml/item4.xml"/><Relationship Id="rId15" Type="http://schemas.openxmlformats.org/officeDocument/2006/relationships/footer" Target="footer1.xml"/><Relationship Id="rId23" Type="http://schemas.openxmlformats.org/officeDocument/2006/relationships/header" Target="header6.xml"/><Relationship Id="rId28"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 Id="rId30" Type="http://schemas.openxmlformats.org/officeDocument/2006/relationships/customXml" Target="../customXml/item2.xm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C3D2D1EF63C7B4BA734CC92C084744E" ma:contentTypeVersion="5" ma:contentTypeDescription="Defines the documents for Document Manager V2" ma:contentTypeScope="" ma:versionID="8b7b4f8c6f2d5555127880b46a91b816">
  <xsd:schema xmlns:xsd="http://www.w3.org/2001/XMLSchema" xmlns:xs="http://www.w3.org/2001/XMLSchema" xmlns:p="http://schemas.microsoft.com/office/2006/metadata/properties" xmlns:ns2="01cfe264-354f-4f3f-acd0-cf26eb309336" xmlns:ns3="http://schemas.microsoft.com/sharepoint/v3/fields" xmlns:ns4="41556846-9ee7-457c-85d1-9e13f59df375" targetNamespace="http://schemas.microsoft.com/office/2006/metadata/properties" ma:root="true" ma:fieldsID="b80fb9c4ac9e4accf0efcf3bf43879d3" ns2:_="" ns3:_="" ns4:_="">
    <xsd:import namespace="01cfe264-354f-4f3f-acd0-cf26eb309336"/>
    <xsd:import namespace="http://schemas.microsoft.com/sharepoint/v3/fields"/>
    <xsd:import namespace="41556846-9ee7-457c-85d1-9e13f59df37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556846-9ee7-457c-85d1-9e13f59df37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V63NAVDT5PV3-2031897445-4033</_dlc_DocId>
    <_dlc_DocIdUrl xmlns="01cfe264-354f-4f3f-acd0-cf26eb309336">
      <Url>http://dm2016/eesc/2021/_layouts/15/DocIdRedir.aspx?ID=V63NAVDT5PV3-2031897445-4033</Url>
      <Description>V63NAVDT5PV3-2031897445-4033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PAC</TermName>
          <TermId xmlns="http://schemas.microsoft.com/office/infopath/2007/PartnerControls">719e5324-e7b4-48f6-9bbb-a2f1f3496a94</TermId>
        </TermInfo>
      </Terms>
    </DocumentType_0>
    <Procedure xmlns="01cfe264-354f-4f3f-acd0-cf26eb309336">2021/0068(COD)</Procedur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2021-04-19T12:00:00+00:00</ProductionDate>
    <DocumentNumber xmlns="41556846-9ee7-457c-85d1-9e13f59df375">1771</DocumentNumber>
    <FicheYear xmlns="01cfe264-354f-4f3f-acd0-cf26eb309336" xsi:nil="true"/>
    <DocumentVersion xmlns="01cfe264-354f-4f3f-acd0-cf26eb309336">1</DocumentVersion>
    <DossierNumber xmlns="01cfe264-354f-4f3f-acd0-cf26eb309336">683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2021-04-27T12:00:00+00:00</MeetingDate>
    <TaxCatchAll xmlns="01cfe264-354f-4f3f-acd0-cf26eb309336">
      <Value>58</Value>
      <Value>51</Value>
      <Value>50</Value>
      <Value>48</Value>
      <Value>45</Value>
      <Value>43</Value>
      <Value>42</Value>
      <Value>41</Value>
      <Value>40</Value>
      <Value>39</Value>
      <Value>38</Value>
      <Value>37</Value>
      <Value>35</Value>
      <Value>28</Value>
      <Value>25</Value>
      <Value>21</Value>
      <Value>19</Value>
      <Value>18</Value>
      <Value>17</Value>
      <Value>16</Value>
      <Value>15</Value>
      <Value>14</Value>
      <Value>13</Value>
      <Value>12</Value>
      <Value>11</Value>
      <Value>9</Value>
      <Value>7</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s>
    </DocumentLanguage_0>
    <Rapporteur xmlns="01cfe264-354f-4f3f-acd0-cf26eb309336">VERNICOS</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Obsolete</TermName>
          <TermId xmlns="http://schemas.microsoft.com/office/infopath/2007/PartnerControls">ef7b2089-53ec-4293-a3a0-fe07d3abc41e</TermId>
        </TermInfo>
      </Terms>
    </VersionStatus_0>
    <DocumentYear xmlns="01cfe264-354f-4f3f-acd0-cf26eb309336">2021</DocumentYear>
    <FicheNumber xmlns="01cfe264-354f-4f3f-acd0-cf26eb309336">5289</FicheNumber>
    <DocumentPart xmlns="01cfe264-354f-4f3f-acd0-cf26eb309336">0</DocumentPart>
    <AdoptionDate xmlns="01cfe264-354f-4f3f-acd0-cf26eb309336" xsi:nil="true"/>
    <RequestingService xmlns="01cfe264-354f-4f3f-acd0-cf26eb309336">Emploi, affaires sociales, citoyenneté</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SPL-CES</TermName>
          <TermId xmlns="http://schemas.microsoft.com/office/infopath/2007/PartnerControls">32d8cb1f-c9ec-4365-95c7-8385a18618ac</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1556846-9ee7-457c-85d1-9e13f59df375">560</MeetingNumber>
    <DossierName_0 xmlns="http://schemas.microsoft.com/sharepoint/v3/fields">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13795804-ecbd-4ce5-9693-9b8be1981b20</TermId>
        </TermInfo>
      </Terms>
    </DossierName_0>
    <OriginalSender xmlns="01cfe264-354f-4f3f-acd0-cf26eb309336">
      <UserInfo>
        <DisplayName/>
        <AccountId xsi:nil="true"/>
        <AccountType/>
      </UserInfo>
    </OriginalSender>
  </documentManagement>
</p:properties>
</file>

<file path=customXml/itemProps1.xml><?xml version="1.0" encoding="utf-8"?>
<ds:datastoreItem xmlns:ds="http://schemas.openxmlformats.org/officeDocument/2006/customXml" ds:itemID="{F01AD072-6A10-4364-9B6D-F49FFB6FA421}"/>
</file>

<file path=customXml/itemProps2.xml><?xml version="1.0" encoding="utf-8"?>
<ds:datastoreItem xmlns:ds="http://schemas.openxmlformats.org/officeDocument/2006/customXml" ds:itemID="{FBC39843-CFD6-48EA-8A6A-7DD794806B21}"/>
</file>

<file path=customXml/itemProps3.xml><?xml version="1.0" encoding="utf-8"?>
<ds:datastoreItem xmlns:ds="http://schemas.openxmlformats.org/officeDocument/2006/customXml" ds:itemID="{5CCB4573-A534-4BC4-8ABF-C52EB432A1F7}"/>
</file>

<file path=customXml/itemProps4.xml><?xml version="1.0" encoding="utf-8"?>
<ds:datastoreItem xmlns:ds="http://schemas.openxmlformats.org/officeDocument/2006/customXml" ds:itemID="{384BE02A-7E85-4D98-AAE2-ABBC8DD2E435}"/>
</file>

<file path=docProps/app.xml><?xml version="1.0" encoding="utf-8"?>
<Properties xmlns="http://schemas.openxmlformats.org/officeDocument/2006/extended-properties" xmlns:vt="http://schemas.openxmlformats.org/officeDocument/2006/docPropsVTypes">
  <Template>Styles</Template>
  <TotalTime>0</TotalTime>
  <Pages>9</Pages>
  <Words>3075</Words>
  <Characters>17534</Characters>
  <Application>Microsoft Office Word</Application>
  <DocSecurity>0</DocSecurity>
  <Lines>146</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Digital Green Certificate</vt:lpstr>
      <vt:lpstr>European Agenda on Migration: Second implementation package - A permanent crisis relocation mechanism under the Dublin system</vt:lpstr>
    </vt:vector>
  </TitlesOfParts>
  <Company>CESE-CdR</Company>
  <LinksUpToDate>false</LinksUpToDate>
  <CharactersWithSpaces>20568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Digitální zelený certifikát</dc:title>
  <dc:subject>PAC</dc:subject>
  <dc:creator>Tomas Vocasek</dc:creator>
  <cp:keywords>EESC-2021-01771-00-01-PAC-TRA-EN</cp:keywords>
  <dc:description>Rapporteur: VERNICOS - Original language: EN - Date of document: 19/04/2021 - Date of meeting: 30/27/2021 14:30 - External documents:  - Administrator: Mme AASMAA Triin</dc:description>
  <cp:lastModifiedBy>Kupcakova Linda</cp:lastModifiedBy>
  <cp:revision>2</cp:revision>
  <cp:lastPrinted>2016-01-26T08:31:00Z</cp:lastPrinted>
  <dcterms:created xsi:type="dcterms:W3CDTF">2021-04-19T09:17:00Z</dcterms:created>
  <dcterms:modified xsi:type="dcterms:W3CDTF">2021-04-19T09:17:00Z</dcterms:modified>
  <cp:category>SOC/683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13/04/2021, 04/11/2015, 27/10/2015, 19/10/2015, 09/10/2015, 05/10/2015, 05/10/2015, 26/08/2015, 26/08/2015, 25/08/2015</vt:lpwstr>
  </property>
  <property fmtid="{D5CDD505-2E9C-101B-9397-08002B2CF9AE}" pid="4" name="Pref_Time">
    <vt:lpwstr>09:51:29, 12/10/07, 14:44:02, 16/04/16, 14:09:30, 16:24:55, 16:04:02, 08:56:14, 07:27:56, 17:31:53</vt:lpwstr>
  </property>
  <property fmtid="{D5CDD505-2E9C-101B-9397-08002B2CF9AE}" pid="5" name="Pref_User">
    <vt:lpwstr>enied, ssex, enied, amett, tvoc, mreg, mreg, amett, enied, ssex</vt:lpwstr>
  </property>
  <property fmtid="{D5CDD505-2E9C-101B-9397-08002B2CF9AE}" pid="6" name="Pref_FileName">
    <vt:lpwstr>EESC-2021-01771-00-00-PAC-ORI.docx, EESC-2015-05408-00-00-PA-CRR-EN.docx, EESC-2015-05408-00-01-APA-ORI.docx, EESC-2015-04319-00-00-TCD-ORI.docx, EESC-2015-04319-00-01-APA-ORI.docx, EESC-2015-04319-00-00-APA-ORI_original.docx, EESC-2015-04319-00-00-APA-OR</vt:lpwstr>
  </property>
  <property fmtid="{D5CDD505-2E9C-101B-9397-08002B2CF9AE}" pid="7" name="ContentTypeId">
    <vt:lpwstr>0x010100EA97B91038054C99906057A708A1480A00BC3D2D1EF63C7B4BA734CC92C084744E</vt:lpwstr>
  </property>
  <property fmtid="{D5CDD505-2E9C-101B-9397-08002B2CF9AE}" pid="8" name="_dlc_DocIdItemGuid">
    <vt:lpwstr>bd34cf0b-5381-4bf5-9924-584a78af04c7</vt:lpwstr>
  </property>
  <property fmtid="{D5CDD505-2E9C-101B-9397-08002B2CF9AE}" pid="9" name="AvailableTranslations">
    <vt:lpwstr>16;#IT|0774613c-01ed-4e5d-a25d-11d2388de825;#9;#EN|f2175f21-25d7-44a3-96da-d6a61b075e1b;#39;#SL|98a412ae-eb01-49e9-ae3d-585a81724cfc;#17;#NL|55c6556c-b4f4-441d-9acf-c498d4f838bd;#12;#DA|5d49c027-8956-412b-aa16-e85a0f96ad0e;#28;#ES|e7a6b05b-ae16-40c8-add9-68b64b03aeba;#25;#CS|72f9705b-0217-4fd3-bea2-cbc7ed80e26e;#4;#FR|d2afafd3-4c81-4f60-8f52-ee33f2f54ff3;#41;#BG|1a1b3951-7821-4e6a-85f5-5673fc08bd2c;#11;#DE|f6b31e5a-26fa-4935-b661-318e46daf27e;#14;#ET|ff6c3f4c-b02c-4c3c-ab07-2c37995a7a0a;#38;#HR|2f555653-ed1a-4fe6-8362-9082d95989e5;#35;#PL|1e03da61-4678-4e07-b136-b5024ca9197b;#19;#SK|46d9fce0-ef79-4f71-b89b-cd6aa82426b8;#18;#LV|46f7e311-5d9f-4663-b433-18aeccb7ace7;#58;#MT|7df99101-6854-4a26-b53a-b88c0da02c26;#37;#EL|6d4f4d51-af9b-4650-94b4-4276bee85c91;#13;#PT|50ccc04a-eadd-42ae-a0cb-acaf45f812ba;#45;#RO|feb747a2-64cd-4299-af12-4833ddc30497;#40;#SV|c2ed69e7-a339-43d7-8f22-d93680a92aa0;#15;#LT|a7ff5ce7-6123-4f68-865a-a57c31810414;#42;#FI|87606a43-d45f-42d6-b8c9-e1a3457db5b7;#21;#HU|6b229040-c589-4408-b4c1-4285663d20a8</vt:lpwstr>
  </property>
  <property fmtid="{D5CDD505-2E9C-101B-9397-08002B2CF9AE}" pid="10" name="DocumentType_0">
    <vt:lpwstr>PAC|719e5324-e7b4-48f6-9bbb-a2f1f3496a94</vt:lpwstr>
  </property>
  <property fmtid="{D5CDD505-2E9C-101B-9397-08002B2CF9AE}" pid="11" name="MeetingNumber">
    <vt:i4>560</vt:i4>
  </property>
  <property fmtid="{D5CDD505-2E9C-101B-9397-08002B2CF9AE}" pid="12" name="DossierName_0">
    <vt:lpwstr>SOC|13795804-ecbd-4ce5-9693-9b8be1981b20</vt:lpwstr>
  </property>
  <property fmtid="{D5CDD505-2E9C-101B-9397-08002B2CF9AE}" pid="13" name="DocumentSource_0">
    <vt:lpwstr>EESC|422833ec-8d7e-4e65-8e4e-8bed07ffb729</vt:lpwstr>
  </property>
  <property fmtid="{D5CDD505-2E9C-101B-9397-08002B2CF9AE}" pid="14" name="DocumentNumber">
    <vt:i4>1771</vt:i4>
  </property>
  <property fmtid="{D5CDD505-2E9C-101B-9397-08002B2CF9AE}" pid="15" name="DocumentVersion">
    <vt:i4>1</vt:i4>
  </property>
  <property fmtid="{D5CDD505-2E9C-101B-9397-08002B2CF9AE}" pid="16" name="DossierNumber">
    <vt:i4>683</vt:i4>
  </property>
  <property fmtid="{D5CDD505-2E9C-101B-9397-08002B2CF9AE}" pid="17" name="DocumentStatus">
    <vt:lpwstr>7;#TRA|150d2a88-1431-44e6-a8ca-0bb753ab8672</vt:lpwstr>
  </property>
  <property fmtid="{D5CDD505-2E9C-101B-9397-08002B2CF9AE}" pid="18" name="DocumentPart">
    <vt:i4>0</vt:i4>
  </property>
  <property fmtid="{D5CDD505-2E9C-101B-9397-08002B2CF9AE}" pid="19" name="DossierName">
    <vt:lpwstr>51;#SOC|13795804-ecbd-4ce5-9693-9b8be1981b20</vt:lpwstr>
  </property>
  <property fmtid="{D5CDD505-2E9C-101B-9397-08002B2CF9AE}" pid="20" name="DocumentSource">
    <vt:lpwstr>1;#EESC|422833ec-8d7e-4e65-8e4e-8bed07ffb729</vt:lpwstr>
  </property>
  <property fmtid="{D5CDD505-2E9C-101B-9397-08002B2CF9AE}" pid="22" name="DocumentType">
    <vt:lpwstr>48;#PAC|719e5324-e7b4-48f6-9bbb-a2f1f3496a94</vt:lpwstr>
  </property>
  <property fmtid="{D5CDD505-2E9C-101B-9397-08002B2CF9AE}" pid="23" name="RequestingService">
    <vt:lpwstr>Emploi, affaires sociales, citoyenneté</vt:lpwstr>
  </property>
  <property fmtid="{D5CDD505-2E9C-101B-9397-08002B2CF9AE}" pid="24" name="Confidentiality">
    <vt:lpwstr>5;#Unrestricted|826e22d7-d029-4ec0-a450-0c28ff673572</vt:lpwstr>
  </property>
  <property fmtid="{D5CDD505-2E9C-101B-9397-08002B2CF9AE}" pid="25" name="MeetingName_0">
    <vt:lpwstr>SPL-CES|32d8cb1f-c9ec-4365-95c7-8385a18618ac</vt:lpwstr>
  </property>
  <property fmtid="{D5CDD505-2E9C-101B-9397-08002B2CF9AE}" pid="26" name="Confidentiality_0">
    <vt:lpwstr>Unrestricted|826e22d7-d029-4ec0-a450-0c28ff673572</vt:lpwstr>
  </property>
  <property fmtid="{D5CDD505-2E9C-101B-9397-08002B2CF9AE}" pid="27" name="OriginalLanguage">
    <vt:lpwstr>9;#EN|f2175f21-25d7-44a3-96da-d6a61b075e1b</vt:lpwstr>
  </property>
  <property fmtid="{D5CDD505-2E9C-101B-9397-08002B2CF9AE}" pid="28" name="MeetingName">
    <vt:lpwstr>50;#SPL-CES|32d8cb1f-c9ec-4365-95c7-8385a18618ac</vt:lpwstr>
  </property>
  <property fmtid="{D5CDD505-2E9C-101B-9397-08002B2CF9AE}" pid="29" name="MeetingDate">
    <vt:filetime>2021-04-27T12:00:00Z</vt:filetime>
  </property>
  <property fmtid="{D5CDD505-2E9C-101B-9397-08002B2CF9AE}" pid="30" name="AvailableTranslations_0">
    <vt:lpwstr>IT|0774613c-01ed-4e5d-a25d-11d2388de825;EN|f2175f21-25d7-44a3-96da-d6a61b075e1b;SL|98a412ae-eb01-49e9-ae3d-585a81724cfc;NL|55c6556c-b4f4-441d-9acf-c498d4f838bd;BG|1a1b3951-7821-4e6a-85f5-5673fc08bd2c;SK|46d9fce0-ef79-4f71-b89b-cd6aa82426b8;LV|46f7e311-5d9f-4663-b433-18aeccb7ace7;EL|6d4f4d51-af9b-4650-94b4-4276bee85c91;HU|6b229040-c589-4408-b4c1-4285663d20a8</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21;#HU|6b229040-c589-4408-b4c1-4285663d20a8;#19;#SK|46d9fce0-ef79-4f71-b89b-cd6aa82426b8;#18;#LV|46f7e311-5d9f-4663-b433-18aeccb7ace7;#17;#NL|55c6556c-b4f4-441d-9acf-c498d4f838bd;#16;#IT|0774613c-01ed-4e5d-a25d-11d2388de825;#51;#SOC|13795804-ecbd-4ce5-9693-9b8be1981b20;#50;#SPL-CES|32d8cb1f-c9ec-4365-95c7-8385a18618ac;#48;#PAC|719e5324-e7b4-48f6-9bbb-a2f1f3496a94;#9;#EN|f2175f21-25d7-44a3-96da-d6a61b075e1b;#7;#TRA|150d2a88-1431-44e6-a8ca-0bb753ab8672;#6;#Final|ea5e6674-7b27-4bac-b091-73adbb394efe;#5;#Unrestricted|826e22d7-d029-4ec0-a450-0c28ff673572;#41;#BG|1a1b3951-7821-4e6a-85f5-5673fc08bd2c;#39;#SL|98a412ae-eb01-49e9-ae3d-585a81724cfc;#1;#EESC|422833ec-8d7e-4e65-8e4e-8bed07ffb729;#37;#EL|6d4f4d51-af9b-4650-94b4-4276bee85c91</vt:lpwstr>
  </property>
  <property fmtid="{D5CDD505-2E9C-101B-9397-08002B2CF9AE}" pid="34" name="Rapporteur">
    <vt:lpwstr>VERNICOS</vt:lpwstr>
  </property>
  <property fmtid="{D5CDD505-2E9C-101B-9397-08002B2CF9AE}" pid="35" name="VersionStatus_0">
    <vt:lpwstr>Final|ea5e6674-7b27-4bac-b091-73adbb394efe</vt:lpwstr>
  </property>
  <property fmtid="{D5CDD505-2E9C-101B-9397-08002B2CF9AE}" pid="36" name="VersionStatus">
    <vt:lpwstr>43;#Obsolete|ef7b2089-53ec-4293-a3a0-fe07d3abc41e</vt:lpwstr>
  </property>
  <property fmtid="{D5CDD505-2E9C-101B-9397-08002B2CF9AE}" pid="37" name="DocumentYear">
    <vt:i4>2021</vt:i4>
  </property>
  <property fmtid="{D5CDD505-2E9C-101B-9397-08002B2CF9AE}" pid="38" name="FicheNumber">
    <vt:i4>5289</vt:i4>
  </property>
  <property fmtid="{D5CDD505-2E9C-101B-9397-08002B2CF9AE}" pid="39" name="DocumentLanguage">
    <vt:lpwstr>25;#CS|72f9705b-0217-4fd3-bea2-cbc7ed80e26e</vt:lpwstr>
  </property>
</Properties>
</file>