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1628B4">
      <w:pPr>
        <w:jc w:val="center"/>
      </w:pPr>
      <w:bookmarkStart w:name="_GoBack" w:id="0"/>
      <w:bookmarkEnd w:id="0"/>
      <w:r>
        <w:rPr>
          <w:noProof/>
          <w:lang w:val="en-US"/>
        </w:rPr>
        <w:drawing>
          <wp:inline distT="0" distB="0" distL="0" distR="0">
            <wp:extent cx="1792605" cy="1241425"/>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Pr="002A3C87" w:rsidR="00646AC2" w:rsidRDefault="00646AC2"/>
    <w:p w:rsidRPr="002A3C87" w:rsidR="00563C84" w:rsidRDefault="00F81AB3">
      <w:pPr>
        <w:jc w:val="right"/>
        <w:rPr>
          <w:b/>
        </w:rPr>
      </w:pPr>
      <w:r>
        <w:rPr>
          <w:b/>
        </w:rPr>
        <w:t>REX/540</w:t>
      </w:r>
    </w:p>
    <w:p w:rsidRPr="002A3C87" w:rsidR="00F81AB3" w:rsidRDefault="00F81AB3">
      <w:pPr>
        <w:jc w:val="right"/>
        <w:rPr>
          <w:b/>
        </w:rPr>
      </w:pPr>
      <w:r>
        <w:rPr>
          <w:b/>
        </w:rPr>
        <w:t>En ny dagsorden for Middelhavsområdet</w:t>
      </w:r>
    </w:p>
    <w:p w:rsidR="009B30AA" w:rsidRDefault="009B30AA"/>
    <w:p w:rsidR="00116B0F" w:rsidRDefault="00116B0F"/>
    <w:p w:rsidRPr="002A3C87" w:rsidR="00116B0F" w:rsidP="00116B0F" w:rsidRDefault="00116B0F">
      <w:pPr>
        <w:jc w:val="center"/>
      </w:pPr>
      <w:r>
        <w:t>Det Europæiske Økonomiske og Sociale Udvalgs</w:t>
      </w:r>
    </w:p>
    <w:p w:rsidRPr="002A3C87" w:rsidR="009B30AA" w:rsidRDefault="009B30AA"/>
    <w:p w:rsidRPr="002A3C87" w:rsidR="00732C76" w:rsidRDefault="00EB4317">
      <w:pPr>
        <w:jc w:val="center"/>
      </w:pPr>
      <w:r>
        <w:rPr>
          <w:b/>
          <w:sz w:val="28"/>
        </w:rPr>
        <w:t xml:space="preserve">UDTALELSE </w:t>
      </w:r>
      <w:r>
        <w:rPr>
          <w:b/>
          <w:sz w:val="28"/>
        </w:rPr>
        <w:br/>
      </w:r>
    </w:p>
    <w:p w:rsidRPr="002A3C87" w:rsidR="009B30AA" w:rsidRDefault="00D77F8C">
      <w:pPr>
        <w:jc w:val="center"/>
      </w:pPr>
      <w:r>
        <w:rPr>
          <w:b/>
        </w:rPr>
        <w:t>Fornyet partnerskab med de sydlige nabolande</w:t>
      </w:r>
      <w:r>
        <w:rPr>
          <w:b/>
        </w:rPr>
        <w:br/>
        <w:t>En ny dagsorden for Middelhavsområdet</w:t>
      </w:r>
      <w:r>
        <w:br/>
        <w:t>[(JOIN(2021) 2 final)]</w:t>
      </w:r>
    </w:p>
    <w:p w:rsidRPr="002A3C87" w:rsidR="00732C76" w:rsidRDefault="00732C76">
      <w:pPr>
        <w:jc w:val="center"/>
      </w:pPr>
    </w:p>
    <w:p w:rsidRPr="002A3C87" w:rsidR="00E32DC6" w:rsidRDefault="007F5E0D">
      <w:pPr>
        <w:jc w:val="center"/>
      </w:pPr>
      <w:r>
        <w:t xml:space="preserve">Ordfører: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2A3C87" w:rsidR="008B54CF" w:rsidTr="0016672B">
        <w:tc>
          <w:tcPr>
            <w:tcW w:w="3044" w:type="dxa"/>
          </w:tcPr>
          <w:p w:rsidRPr="002A3C87" w:rsidR="0011656A" w:rsidRDefault="0090053A">
            <w:pPr>
              <w:jc w:val="left"/>
            </w:pPr>
            <w:r>
              <w:lastRenderedPageBreak/>
              <w:t xml:space="preserve">Anmodning om udtalelse </w:t>
            </w:r>
          </w:p>
        </w:tc>
        <w:tc>
          <w:tcPr>
            <w:tcW w:w="6278" w:type="dxa"/>
          </w:tcPr>
          <w:p w:rsidRPr="002A3C87" w:rsidR="0011656A" w:rsidRDefault="006B4B0E">
            <w:pPr>
              <w:jc w:val="left"/>
            </w:pPr>
            <w:r>
              <w:t>26/03/2021</w:t>
            </w:r>
          </w:p>
        </w:tc>
      </w:tr>
      <w:tr w:rsidRPr="002A3C87" w:rsidR="008B54CF" w:rsidTr="0016672B">
        <w:trPr>
          <w:trHeight w:val="251"/>
        </w:trPr>
        <w:tc>
          <w:tcPr>
            <w:tcW w:w="3044" w:type="dxa"/>
          </w:tcPr>
          <w:p w:rsidRPr="002A3C87" w:rsidR="0016503F" w:rsidRDefault="0016503F">
            <w:pPr>
              <w:jc w:val="left"/>
            </w:pPr>
            <w:r>
              <w:t>Retsgrundlag</w:t>
            </w:r>
          </w:p>
        </w:tc>
        <w:tc>
          <w:tcPr>
            <w:tcW w:w="6278" w:type="dxa"/>
          </w:tcPr>
          <w:p w:rsidRPr="002A3C87" w:rsidR="0016503F" w:rsidRDefault="0016503F">
            <w:r>
              <w:t>Artikel 304 i traktaten om Den Europæiske Unions funktionsmåde</w:t>
            </w:r>
          </w:p>
        </w:tc>
      </w:tr>
      <w:tr w:rsidRPr="002A3C87" w:rsidR="008B54CF" w:rsidTr="0016672B">
        <w:trPr>
          <w:trHeight w:val="250"/>
        </w:trPr>
        <w:tc>
          <w:tcPr>
            <w:tcW w:w="3044" w:type="dxa"/>
          </w:tcPr>
          <w:p w:rsidRPr="002A3C87" w:rsidR="0016503F" w:rsidRDefault="0016503F">
            <w:pPr>
              <w:jc w:val="left"/>
            </w:pPr>
          </w:p>
        </w:tc>
        <w:tc>
          <w:tcPr>
            <w:tcW w:w="6278" w:type="dxa"/>
          </w:tcPr>
          <w:p w:rsidRPr="002A3C87" w:rsidR="0016503F" w:rsidRDefault="0016503F">
            <w:pPr>
              <w:jc w:val="left"/>
            </w:pPr>
          </w:p>
        </w:tc>
      </w:tr>
      <w:tr w:rsidRPr="002A3C87" w:rsidR="008B54CF" w:rsidTr="0016672B">
        <w:trPr>
          <w:trHeight w:val="250"/>
        </w:trPr>
        <w:tc>
          <w:tcPr>
            <w:tcW w:w="3044" w:type="dxa"/>
          </w:tcPr>
          <w:p w:rsidRPr="002A3C87" w:rsidR="00F62BA0" w:rsidRDefault="00F62BA0">
            <w:pPr>
              <w:jc w:val="left"/>
            </w:pPr>
            <w:r>
              <w:t>Plenarforsamlingens beslutning</w:t>
            </w:r>
          </w:p>
        </w:tc>
        <w:tc>
          <w:tcPr>
            <w:tcW w:w="6278" w:type="dxa"/>
          </w:tcPr>
          <w:p w:rsidRPr="002A3C87" w:rsidR="00F62BA0" w:rsidRDefault="00274A89">
            <w:pPr>
              <w:jc w:val="left"/>
            </w:pPr>
            <w:r>
              <w:t>23/03/2021</w:t>
            </w:r>
          </w:p>
        </w:tc>
      </w:tr>
      <w:tr w:rsidRPr="002A3C87" w:rsidR="008B54CF" w:rsidTr="0016672B">
        <w:tc>
          <w:tcPr>
            <w:tcW w:w="3044" w:type="dxa"/>
          </w:tcPr>
          <w:p w:rsidRPr="002A3C87" w:rsidR="00BA1290" w:rsidRDefault="00BA1290">
            <w:pPr>
              <w:jc w:val="left"/>
            </w:pPr>
          </w:p>
        </w:tc>
        <w:tc>
          <w:tcPr>
            <w:tcW w:w="6278" w:type="dxa"/>
          </w:tcPr>
          <w:p w:rsidRPr="002A3C87" w:rsidR="00BA1290" w:rsidRDefault="00BA1290">
            <w:pPr>
              <w:jc w:val="left"/>
            </w:pPr>
          </w:p>
        </w:tc>
      </w:tr>
      <w:tr w:rsidRPr="002A3C87" w:rsidR="008B54CF" w:rsidTr="0016672B">
        <w:tc>
          <w:tcPr>
            <w:tcW w:w="3044" w:type="dxa"/>
          </w:tcPr>
          <w:p w:rsidRPr="002A3C87" w:rsidR="00DF5B64" w:rsidRDefault="00AD4B4F">
            <w:pPr>
              <w:jc w:val="left"/>
            </w:pPr>
            <w:r>
              <w:t>Kompetence</w:t>
            </w:r>
          </w:p>
        </w:tc>
        <w:tc>
          <w:tcPr>
            <w:tcW w:w="6278" w:type="dxa"/>
          </w:tcPr>
          <w:p w:rsidRPr="002A3C87" w:rsidR="00DF5B64" w:rsidRDefault="00784E8B">
            <w:pPr>
              <w:jc w:val="left"/>
            </w:pPr>
            <w:r>
              <w:t>Sektionen for Eksterne Forbindelser</w:t>
            </w:r>
          </w:p>
        </w:tc>
      </w:tr>
      <w:tr w:rsidRPr="002A3C87" w:rsidR="008B54CF" w:rsidTr="0016672B">
        <w:tc>
          <w:tcPr>
            <w:tcW w:w="3044" w:type="dxa"/>
          </w:tcPr>
          <w:p w:rsidRPr="002A3C87" w:rsidR="00A156E6" w:rsidRDefault="00594A84">
            <w:pPr>
              <w:jc w:val="left"/>
            </w:pPr>
            <w:r>
              <w:t>Vedtaget i sektionen</w:t>
            </w:r>
          </w:p>
        </w:tc>
        <w:tc>
          <w:tcPr>
            <w:tcW w:w="6278" w:type="dxa"/>
          </w:tcPr>
          <w:p w:rsidRPr="002A3C87" w:rsidR="00A156E6" w:rsidRDefault="002B6F5D">
            <w:pPr>
              <w:jc w:val="left"/>
            </w:pPr>
            <w:r>
              <w:t>16/06/2021</w:t>
            </w:r>
          </w:p>
        </w:tc>
      </w:tr>
      <w:tr w:rsidRPr="002A3C87" w:rsidR="008B54CF" w:rsidTr="0016672B">
        <w:tc>
          <w:tcPr>
            <w:tcW w:w="3044" w:type="dxa"/>
          </w:tcPr>
          <w:p w:rsidRPr="002A3C87" w:rsidR="00A156E6" w:rsidRDefault="00A156E6">
            <w:pPr>
              <w:jc w:val="left"/>
            </w:pPr>
            <w:r>
              <w:t>Vedtaget på plenarforsamlingen</w:t>
            </w:r>
          </w:p>
        </w:tc>
        <w:tc>
          <w:tcPr>
            <w:tcW w:w="6278" w:type="dxa"/>
          </w:tcPr>
          <w:p w:rsidRPr="002A3C87" w:rsidR="00A156E6" w:rsidRDefault="00D77F8C">
            <w:pPr>
              <w:jc w:val="left"/>
            </w:pPr>
            <w:r>
              <w:t>07/07/2021</w:t>
            </w:r>
          </w:p>
        </w:tc>
      </w:tr>
      <w:tr w:rsidRPr="002A3C87" w:rsidR="008B54CF" w:rsidTr="0016672B">
        <w:tc>
          <w:tcPr>
            <w:tcW w:w="3044" w:type="dxa"/>
          </w:tcPr>
          <w:p w:rsidRPr="002A3C87" w:rsidR="00BA1290" w:rsidRDefault="00BA1290">
            <w:pPr>
              <w:jc w:val="left"/>
            </w:pPr>
            <w:r>
              <w:t>Plenarforsamling nr.</w:t>
            </w:r>
          </w:p>
        </w:tc>
        <w:tc>
          <w:tcPr>
            <w:tcW w:w="6278" w:type="dxa"/>
          </w:tcPr>
          <w:p w:rsidRPr="002A3C87" w:rsidR="00BA1290" w:rsidRDefault="00D77F8C">
            <w:pPr>
              <w:jc w:val="left"/>
            </w:pPr>
            <w:r>
              <w:t>562</w:t>
            </w:r>
          </w:p>
        </w:tc>
      </w:tr>
      <w:tr w:rsidRPr="002A3C87" w:rsidR="008B54CF" w:rsidTr="0016672B">
        <w:tc>
          <w:tcPr>
            <w:tcW w:w="3044" w:type="dxa"/>
          </w:tcPr>
          <w:p w:rsidRPr="002A3C87" w:rsidR="00D423D4" w:rsidRDefault="0043024C">
            <w:pPr>
              <w:jc w:val="left"/>
            </w:pPr>
            <w:r>
              <w:t>Resultat af afstemningen</w:t>
            </w:r>
            <w:r>
              <w:br/>
              <w:t>(for/imod/hverken for eller imod)</w:t>
            </w:r>
          </w:p>
        </w:tc>
        <w:tc>
          <w:tcPr>
            <w:tcW w:w="6278"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P="00116B0F" w:rsidRDefault="00011D33">
      <w:pPr>
        <w:pStyle w:val="Heading1"/>
        <w:keepNext/>
        <w:tabs>
          <w:tab w:val="left" w:pos="567"/>
        </w:tabs>
      </w:pPr>
      <w:r>
        <w:rPr>
          <w:b/>
        </w:rPr>
        <w:lastRenderedPageBreak/>
        <w:t>Konklusioner og anbefalinger</w:t>
      </w:r>
    </w:p>
    <w:p w:rsidRPr="002A3C87" w:rsidR="00011D33" w:rsidP="00116B0F" w:rsidRDefault="00011D33">
      <w:pPr>
        <w:keepNext/>
      </w:pPr>
    </w:p>
    <w:p w:rsidRPr="002A3C87" w:rsidR="008A13EA" w:rsidP="00116B0F" w:rsidRDefault="00B34671">
      <w:pPr>
        <w:pStyle w:val="Heading2"/>
        <w:ind w:left="567" w:hanging="567"/>
      </w:pPr>
      <w:r>
        <w:t xml:space="preserve">EØSU bifalder meddelelsens fornyede engagement i retsstatsprincippet, menneskerettighederne og de grundlæggende rettigheder, ligestilling, demokrati og god regeringsførelse som en hjørnesten i udviklingen af retfærdige, rummelige og dermed velstående samfund samt dens særlige fokus på unge, kvinder og ugunstigt stillede grupper. Samtidig udtrykker det tilfredshed med de nye sociale mål fra topmødet i Porto, som skal have indflydelse på gennemførelsen af den fælles meddelelse. </w:t>
      </w:r>
    </w:p>
    <w:p w:rsidRPr="002A3C87" w:rsidR="00122837" w:rsidP="00116B0F" w:rsidRDefault="00122837"/>
    <w:p w:rsidRPr="002A3C87" w:rsidR="0094091F" w:rsidP="00116B0F" w:rsidRDefault="008A13EA">
      <w:pPr>
        <w:pStyle w:val="Heading2"/>
        <w:ind w:left="567" w:hanging="567"/>
      </w:pPr>
      <w:r>
        <w:t xml:space="preserve">EØSU glæder sig meget over EU’s tilsagn om at fremme en retsstatskultur gennem tæt inddragelse af civilsamfundet og erhvervslivet. Civilsamfundsorganisationer og arbejdsmarkedets organisationer er fortsat vigtige partnere i udformningen og overvågningen af EU-samarbejdet. EØSU's gruppe om grundlæggende rettigheder og retsstatsprincippet (FRRL) er et godt eksempel på, hvordan civilsamfundsorganisationerne bliver stærkere i EU-landene. </w:t>
      </w:r>
    </w:p>
    <w:p w:rsidRPr="002A3C87" w:rsidR="008A13EA" w:rsidP="00116B0F" w:rsidRDefault="008A13EA"/>
    <w:p w:rsidRPr="002A3C87" w:rsidR="0094091F" w:rsidP="00116B0F" w:rsidRDefault="0094091F">
      <w:pPr>
        <w:pStyle w:val="Heading2"/>
        <w:ind w:left="567" w:hanging="567"/>
      </w:pPr>
      <w:r>
        <w:t xml:space="preserve">EØSU bifalder forslagene om i højere grad at inddrage den private sektor i regionens udvikling for at supplere de nødvendige offentlige investeringer og uddybe den offentlig-private dialog med henblik på at sikre social og økonomisk bæredygtighed, hvilket vil føre til, at der skabes anstændige job. Denne tilgang bør fremmes både på regionalt Euromedniveau og på nationalt og lokalt plan. </w:t>
      </w:r>
    </w:p>
    <w:p w:rsidRPr="002A3C87" w:rsidR="008A13EA" w:rsidP="00116B0F" w:rsidRDefault="008A13EA"/>
    <w:p w:rsidRPr="002A3C87" w:rsidR="00011D33" w:rsidP="00116B0F" w:rsidRDefault="0094091F">
      <w:pPr>
        <w:pStyle w:val="Heading2"/>
        <w:ind w:left="567" w:hanging="567"/>
      </w:pPr>
      <w:r>
        <w:t>EØSU bifalder den afgørende støtte til at styrke samarbejdet i multilaterale fora med FN i centrum, navnlig om fred og sikkerhed, med henblik på at udvikle fælles løsninger og tage fat på de problemer, der hæmmer stabilitet og fremskridt, selv om de samme problemer vedrørende fred, sikkerhed og økonomisk udvikling fortsat plager regionen efter 25 år med Euromedpartnerskabet. Udvalget opfordrer til en indsats på grundlag af synergier mellem instrumenterne i FN-pagten og strategien for EU's sikkerhedsunion og mener, at der er behov for en betydelig forøgelse af EU's indsats i regionen.</w:t>
      </w:r>
    </w:p>
    <w:p w:rsidRPr="002A3C87" w:rsidR="0094091F" w:rsidP="00116B0F" w:rsidRDefault="0094091F">
      <w:pPr>
        <w:pStyle w:val="Heading2"/>
        <w:numPr>
          <w:ilvl w:val="0"/>
          <w:numId w:val="0"/>
        </w:numPr>
        <w:ind w:left="567"/>
      </w:pPr>
    </w:p>
    <w:p w:rsidRPr="002A3C87" w:rsidR="0094091F" w:rsidP="00116B0F" w:rsidRDefault="0094091F">
      <w:pPr>
        <w:pStyle w:val="Heading2"/>
        <w:ind w:left="567" w:hanging="567"/>
      </w:pPr>
      <w:r>
        <w:t xml:space="preserve">EØSU mener, at det er vigtigt at forbedre det regionale, subregionale og interregionale samarbejde, navnlig gennem Middelhavsunionen, Den Arabiske Liga, Den Afrikanske Union, fem-plus-fem-dialogen (5+5) eller andre regionale aktører og organisationer, der fremmer pragmatisk flerniveaustyring med initiativer baseret på variabel geometri og triangulering, som også bidrager til at fremme samarbejdet med hele det afrikanske kontinent og Golf- og Rødehavsregionen. </w:t>
      </w:r>
    </w:p>
    <w:p w:rsidRPr="002A3C87" w:rsidR="0094091F" w:rsidP="00116B0F" w:rsidRDefault="0094091F">
      <w:pPr>
        <w:pStyle w:val="Heading2"/>
        <w:numPr>
          <w:ilvl w:val="0"/>
          <w:numId w:val="0"/>
        </w:numPr>
        <w:ind w:left="567"/>
      </w:pPr>
    </w:p>
    <w:p w:rsidRPr="002A3C87" w:rsidR="0094091F" w:rsidP="00116B0F" w:rsidRDefault="0094091F">
      <w:pPr>
        <w:pStyle w:val="Heading2"/>
        <w:ind w:left="567" w:hanging="567"/>
      </w:pPr>
      <w:r>
        <w:t>EØSU understreger, at der skal fokuseres på at tackle de grundlæggende årsager til migration i de respektive partnerlande. Borgerne skal have et anstændigt liv, beskæftigelse og fremtidsudsigter i deres egne lande i overensstemmelse med verdensmålene for bæredygtig udvikling, så de ikke migrerer på grund af manglende muligheder i livet. Eksempler herpå kunne være bedre adgang til uddannelse eller foranstaltninger til at skabe kvalitetsjob.</w:t>
      </w:r>
    </w:p>
    <w:p w:rsidRPr="002A3C87" w:rsidR="0094091F" w:rsidP="00116B0F" w:rsidRDefault="0094091F"/>
    <w:p w:rsidRPr="002A3C87" w:rsidR="0061350B" w:rsidP="00116B0F" w:rsidRDefault="008A13EA">
      <w:pPr>
        <w:pStyle w:val="Heading2"/>
        <w:ind w:left="567" w:hanging="567"/>
      </w:pPr>
      <w:r>
        <w:t>EØSU opfordrer EU til at sikre, at den grønne omstilling ikke opfattes som en model, der påtvinges udefra. Det anbefales at investere i oplysningskampagner og inddrage civilsamfundet i denne indsats.</w:t>
      </w:r>
    </w:p>
    <w:p w:rsidRPr="002A3C87" w:rsidR="008A13EA" w:rsidP="00116B0F" w:rsidRDefault="008A13EA"/>
    <w:p w:rsidRPr="002A3C87" w:rsidR="0094091F" w:rsidP="00116B0F" w:rsidRDefault="0094091F">
      <w:pPr>
        <w:pStyle w:val="Heading2"/>
        <w:ind w:left="567" w:hanging="567"/>
      </w:pPr>
      <w:r>
        <w:lastRenderedPageBreak/>
        <w:t xml:space="preserve">EØSU understreger betydningen af meddelelsens fokus på den vigtige rolle, som arbejdsmarkedets parter og civilsamfundsorganisationerne – både formelle og uformelle – spiller som nøgleaktører i udformningen og gennemførelsen af offentlige politikker og som vagthunde med hensyn til respekten for borgernes rettigheder og retsstatsprincippet. Fagforeninger og erhvervsorganisationer spiller i denne forbindelse en vigtig rolle inden for rammerne af den sociale dialog. EØSU finder det derfor afgørende, at EU støtter og fremmer indsatsen fra de forskellige institutioner og netværk af civilsamfundsorganisationer i ordets bredeste betydning på Euro-Middelhavsplan, således at de kan udføre deres arbejde på de bedst mulige vilkår. </w:t>
      </w:r>
    </w:p>
    <w:p w:rsidRPr="002A3C87" w:rsidR="008A13EA" w:rsidP="00116B0F" w:rsidRDefault="008A13EA"/>
    <w:p w:rsidRPr="002A3C87" w:rsidR="0094091F" w:rsidP="00116B0F" w:rsidRDefault="00110E6F">
      <w:pPr>
        <w:pStyle w:val="Heading2"/>
        <w:ind w:left="567" w:hanging="567"/>
      </w:pPr>
      <w:r>
        <w:t xml:space="preserve">EØSU mener, at ligestilling mellem kønnene ikke blot er en universelt anerkendt menneskeret, men også en nødvendighed for velfærd, økonomisk vækst, velstand, god regeringsførelse, fred og sikkerhed. Vi skal intensivere vores indsats, herunder ved at integrere kønsaspektet i alle samarbejdsprogrammer og målrettede aktioner, i overensstemmelse med EU's kønshandlingsplan III. </w:t>
      </w:r>
    </w:p>
    <w:p w:rsidRPr="002A3C87" w:rsidR="00011D33" w:rsidP="00116B0F" w:rsidRDefault="00011D33"/>
    <w:p w:rsidRPr="002A3C87" w:rsidR="00382885" w:rsidP="00116B0F" w:rsidRDefault="00382885">
      <w:pPr>
        <w:pStyle w:val="Heading1"/>
        <w:keepNext/>
        <w:keepLines/>
        <w:tabs>
          <w:tab w:val="left" w:pos="567"/>
        </w:tabs>
        <w:rPr>
          <w:b/>
        </w:rPr>
      </w:pPr>
      <w:r>
        <w:rPr>
          <w:b/>
        </w:rPr>
        <w:t>Generelle bemærkninger</w:t>
      </w:r>
    </w:p>
    <w:p w:rsidRPr="002A3C87" w:rsidR="00CB2F60" w:rsidP="00116B0F" w:rsidRDefault="00CB2F60">
      <w:pPr>
        <w:keepNext/>
        <w:keepLines/>
      </w:pPr>
    </w:p>
    <w:p w:rsidRPr="002A3C87" w:rsidR="00E05B03" w:rsidP="00116B0F" w:rsidRDefault="00382885">
      <w:pPr>
        <w:pStyle w:val="Heading2"/>
        <w:ind w:left="567" w:hanging="567"/>
      </w:pPr>
      <w:r>
        <w:t>For at relancere og styrke det strategiske partnerskab mellem Den Europæiske Union og dens partnere i de sydlige nabolande vedtog Kommissionens højtstående repræsentant den 9. februar 2021 en ny politisk erklæring: meddelelsen om et fornyet partnerskab med de sydlige nabolande – en ny dagsorden for Middelhavsområdet.</w:t>
      </w:r>
    </w:p>
    <w:p w:rsidRPr="002A3C87" w:rsidR="00382885" w:rsidP="00116B0F" w:rsidRDefault="00382885">
      <w:pPr>
        <w:pStyle w:val="Heading2"/>
        <w:numPr>
          <w:ilvl w:val="0"/>
          <w:numId w:val="0"/>
        </w:numPr>
        <w:ind w:left="142"/>
      </w:pPr>
    </w:p>
    <w:p w:rsidRPr="002A3C87" w:rsidR="00382885" w:rsidP="00116B0F" w:rsidRDefault="00382885">
      <w:pPr>
        <w:pStyle w:val="Heading2"/>
        <w:ind w:left="567" w:hanging="567"/>
      </w:pPr>
      <w:r>
        <w:t>En dedikeret økonomisk investeringsplan for de sydlige nabolande har til formål at sikre, at livskvaliteten for befolkningen i regionen forbedres, og at det økonomiske opsving ikke lader nogen i stikken, idet de sundhedsmæssige virkninger af covid-19-pandemien også medtænkes, gennemførelsen af COVAX-faciliteten styrkes, og den bæredygtige offentlige infrastruktur udbygges. Respekt for menneskerettighederne og retsstatsprincippet er en integreret del af meddelelsen og er afgørende for at sikre borgernes tillid til institutionerne.</w:t>
      </w:r>
    </w:p>
    <w:p w:rsidRPr="002A3C87" w:rsidR="00382885" w:rsidP="00116B0F" w:rsidRDefault="00382885">
      <w:pPr>
        <w:pStyle w:val="Heading2"/>
        <w:numPr>
          <w:ilvl w:val="0"/>
          <w:numId w:val="0"/>
        </w:numPr>
        <w:ind w:left="567"/>
      </w:pPr>
    </w:p>
    <w:p w:rsidRPr="002A3C87" w:rsidR="00382885" w:rsidP="00116B0F" w:rsidRDefault="00382885">
      <w:pPr>
        <w:pStyle w:val="Heading2"/>
        <w:ind w:left="567" w:hanging="567"/>
      </w:pPr>
      <w:r>
        <w:t>Under EU's nye instrument for naboskab, udviklingssamarbejde og internationalt samarbejde – et globalt Europa (NDICI) vil op til 7 mia. EUR blive øremærket til gennemførelsen mellem 2021 og 2027, hvilket kan mobilisere op til 30 mia. EUR i offentlige og private investeringer i regionen i løbet af det næste tiår. Gennem NDICI vil EU også sætte skub i bæredygtige investeringer under EFSD+ ved at mobilisere kapital som supplement til direkte eksterne samarbejdstilskud. EFSD+ vil blive bakket op af en garanti for foranstaltninger udadtil på 53.400 mio. EUR, som også vil dække det vestlige Balkan.</w:t>
      </w:r>
    </w:p>
    <w:p w:rsidRPr="002A3C87" w:rsidR="00382885" w:rsidP="00116B0F" w:rsidRDefault="00382885">
      <w:pPr>
        <w:pStyle w:val="Heading2"/>
        <w:numPr>
          <w:ilvl w:val="0"/>
          <w:numId w:val="0"/>
        </w:numPr>
        <w:ind w:left="567"/>
      </w:pPr>
    </w:p>
    <w:p w:rsidRPr="002A3C87" w:rsidR="00382885" w:rsidP="00116B0F" w:rsidRDefault="008356D6">
      <w:pPr>
        <w:pStyle w:val="Heading2"/>
        <w:keepNext/>
        <w:keepLines/>
        <w:ind w:left="567" w:hanging="567"/>
      </w:pPr>
      <w:r>
        <w:t>Den nye dagsorden fokuserer på fem politikområder:</w:t>
      </w:r>
    </w:p>
    <w:p w:rsidRPr="002A3C87" w:rsidR="001B4B3C" w:rsidP="00116B0F" w:rsidRDefault="001B4B3C">
      <w:pPr>
        <w:keepNext/>
        <w:keepLines/>
      </w:pPr>
    </w:p>
    <w:p w:rsidRPr="002A3C87" w:rsidR="00382885" w:rsidP="00116B0F" w:rsidRDefault="00382885">
      <w:pPr>
        <w:pStyle w:val="Heading2"/>
        <w:numPr>
          <w:ilvl w:val="0"/>
          <w:numId w:val="95"/>
        </w:numPr>
        <w:ind w:left="936" w:hanging="369"/>
      </w:pPr>
      <w:r>
        <w:t>menneskelig udvikling, god regeringsførelse og retsstatsprincippet</w:t>
      </w:r>
    </w:p>
    <w:p w:rsidRPr="002A3C87" w:rsidR="00CB2F60" w:rsidP="00116B0F" w:rsidRDefault="00382885">
      <w:pPr>
        <w:pStyle w:val="Heading2"/>
        <w:numPr>
          <w:ilvl w:val="0"/>
          <w:numId w:val="95"/>
        </w:numPr>
        <w:ind w:left="936" w:hanging="369"/>
        <w:rPr>
          <w:strike/>
        </w:rPr>
      </w:pPr>
      <w:r>
        <w:t>modstandsdygtighed, velstand og den digitale omstilling</w:t>
      </w:r>
    </w:p>
    <w:p w:rsidRPr="002A3C87" w:rsidR="00F70444" w:rsidP="00116B0F" w:rsidRDefault="00CB2F60">
      <w:pPr>
        <w:pStyle w:val="Heading2"/>
        <w:numPr>
          <w:ilvl w:val="0"/>
          <w:numId w:val="95"/>
        </w:numPr>
        <w:ind w:left="936" w:hanging="369"/>
        <w:rPr>
          <w:strike/>
        </w:rPr>
      </w:pPr>
      <w:r>
        <w:t xml:space="preserve">fred og sikkerhed </w:t>
      </w:r>
    </w:p>
    <w:p w:rsidRPr="002A3C87" w:rsidR="00CB2F60" w:rsidP="00116B0F" w:rsidRDefault="00F70444">
      <w:pPr>
        <w:pStyle w:val="Heading2"/>
        <w:numPr>
          <w:ilvl w:val="0"/>
          <w:numId w:val="95"/>
        </w:numPr>
        <w:ind w:left="936" w:hanging="369"/>
      </w:pPr>
      <w:r>
        <w:t>migration og mobilitet</w:t>
      </w:r>
    </w:p>
    <w:p w:rsidRPr="002A3C87" w:rsidR="00A07EC4" w:rsidP="00116B0F" w:rsidRDefault="00382885">
      <w:pPr>
        <w:pStyle w:val="Heading2"/>
        <w:numPr>
          <w:ilvl w:val="0"/>
          <w:numId w:val="95"/>
        </w:numPr>
        <w:ind w:left="936" w:hanging="369"/>
      </w:pPr>
      <w:r>
        <w:t>den grønne omstilling.</w:t>
      </w:r>
    </w:p>
    <w:p w:rsidRPr="002A3C87" w:rsidR="00CB2F60" w:rsidP="00116B0F" w:rsidRDefault="00CB2F60">
      <w:pPr>
        <w:pStyle w:val="Heading2"/>
        <w:numPr>
          <w:ilvl w:val="0"/>
          <w:numId w:val="0"/>
        </w:numPr>
        <w:rPr>
          <w:b/>
        </w:rPr>
      </w:pPr>
    </w:p>
    <w:p w:rsidRPr="002A3C87" w:rsidR="00382885" w:rsidP="00116B0F" w:rsidRDefault="00382885">
      <w:pPr>
        <w:pStyle w:val="Heading1"/>
        <w:keepNext/>
        <w:ind w:left="567" w:hanging="567"/>
      </w:pPr>
      <w:r>
        <w:rPr>
          <w:b/>
        </w:rPr>
        <w:lastRenderedPageBreak/>
        <w:t>Baggrund for det fornyede partnerskab med de sydlige nabolande – en ny dagsorden for Middelhavsområdet</w:t>
      </w:r>
    </w:p>
    <w:p w:rsidRPr="002A3C87" w:rsidR="00382885" w:rsidP="00116B0F" w:rsidRDefault="00382885">
      <w:pPr>
        <w:pStyle w:val="Heading2"/>
        <w:keepNext/>
        <w:numPr>
          <w:ilvl w:val="0"/>
          <w:numId w:val="0"/>
        </w:numPr>
        <w:ind w:left="567"/>
      </w:pPr>
    </w:p>
    <w:p w:rsidRPr="002A3C87" w:rsidR="001B4B3C" w:rsidP="00116B0F" w:rsidRDefault="00382885">
      <w:pPr>
        <w:pStyle w:val="Heading2"/>
        <w:ind w:left="567" w:hanging="567"/>
      </w:pPr>
      <w:r>
        <w:t>25 år efter Barcelonaerklæringen foreslås det i den nye, ambitiøse og innovative dagsorden for Middelhavsområdet at relancere Euro-Middelhavspartnerskabet.</w:t>
      </w:r>
    </w:p>
    <w:p w:rsidRPr="002A3C87" w:rsidR="00382885" w:rsidP="00116B0F" w:rsidRDefault="00382885">
      <w:pPr>
        <w:pStyle w:val="Heading2"/>
        <w:numPr>
          <w:ilvl w:val="0"/>
          <w:numId w:val="0"/>
        </w:numPr>
        <w:ind w:left="567"/>
      </w:pPr>
    </w:p>
    <w:p w:rsidRPr="002A3C87" w:rsidR="00382885" w:rsidP="00116B0F" w:rsidRDefault="00382885">
      <w:pPr>
        <w:pStyle w:val="Heading2"/>
        <w:numPr>
          <w:ilvl w:val="0"/>
          <w:numId w:val="0"/>
        </w:numPr>
        <w:ind w:left="567"/>
      </w:pPr>
      <w:r>
        <w:t>2004: Lancering af den europæiske naboskabspolitik</w:t>
      </w:r>
    </w:p>
    <w:p w:rsidRPr="002A3C87" w:rsidR="00382885" w:rsidP="00116B0F" w:rsidRDefault="00382885">
      <w:pPr>
        <w:pStyle w:val="Heading2"/>
        <w:numPr>
          <w:ilvl w:val="0"/>
          <w:numId w:val="0"/>
        </w:numPr>
        <w:ind w:left="567"/>
      </w:pPr>
      <w:r>
        <w:t>2008: Middelhavsunionens oprettelse som en mellemstatslig organisation</w:t>
      </w:r>
    </w:p>
    <w:p w:rsidRPr="002A3C87" w:rsidR="00382885" w:rsidP="00116B0F" w:rsidRDefault="00382885">
      <w:pPr>
        <w:pStyle w:val="Heading2"/>
        <w:numPr>
          <w:ilvl w:val="0"/>
          <w:numId w:val="0"/>
        </w:numPr>
        <w:ind w:left="567"/>
      </w:pPr>
      <w:r>
        <w:t>2015: Revision af den europæiske naboskabspolitik og fastsættelse af stabilisering og sikkerhed som de vigtigste politiske mål</w:t>
      </w:r>
    </w:p>
    <w:p w:rsidRPr="002A3C87" w:rsidR="00382885" w:rsidP="00116B0F" w:rsidRDefault="00382885">
      <w:pPr>
        <w:pStyle w:val="Heading2"/>
        <w:numPr>
          <w:ilvl w:val="0"/>
          <w:numId w:val="0"/>
        </w:numPr>
        <w:ind w:left="567"/>
      </w:pPr>
      <w:r>
        <w:t>2020: Kommissionens forslag til en ny pagt om migration og asyl.</w:t>
      </w:r>
    </w:p>
    <w:p w:rsidRPr="002A3C87" w:rsidR="00382885" w:rsidP="00116B0F" w:rsidRDefault="00382885"/>
    <w:p w:rsidRPr="002A3C87" w:rsidR="00382885" w:rsidP="00116B0F" w:rsidRDefault="00382885">
      <w:pPr>
        <w:pStyle w:val="Heading2"/>
        <w:ind w:left="567" w:hanging="567"/>
      </w:pPr>
      <w:r>
        <w:t>Arbejdsdokumentet om investeringsplanen for de sydlige nabolande indeholder konkrete forslag til initiativer på fire af de fem prioriterede områder. Investeringsplanen skal udtrykkeligt udarbejdes i samarbejde med medlemsstaterne, eventuelt gennem fælles programmering. Det er vigtigt at inddrage civilsamfundsorganisationer og arbejdsmarkedets parter i programmeringsprocessen.</w:t>
      </w:r>
      <w:r>
        <w:rPr>
          <w:color w:val="C00000"/>
        </w:rPr>
        <w:t xml:space="preserve"> </w:t>
      </w:r>
      <w:r>
        <w:t xml:space="preserve">Investeringsplanen skal ligeledes være tilgængelig for disse sociale aktører.  </w:t>
      </w:r>
    </w:p>
    <w:p w:rsidRPr="002A3C87" w:rsidR="00382885" w:rsidP="00116B0F" w:rsidRDefault="00382885"/>
    <w:p w:rsidRPr="002A3C87" w:rsidR="00382885" w:rsidP="00116B0F" w:rsidRDefault="00382885">
      <w:pPr>
        <w:pStyle w:val="Heading1"/>
        <w:keepNext/>
        <w:keepLines/>
        <w:tabs>
          <w:tab w:val="left" w:pos="567"/>
        </w:tabs>
      </w:pPr>
      <w:r>
        <w:rPr>
          <w:b/>
        </w:rPr>
        <w:t>Menneskelig udvikling, god regeringsførelse og retsstatsprincippet</w:t>
      </w:r>
    </w:p>
    <w:p w:rsidRPr="002A3C87" w:rsidR="00382885" w:rsidP="00116B0F" w:rsidRDefault="00382885">
      <w:pPr>
        <w:pStyle w:val="Heading2"/>
        <w:keepNext/>
        <w:keepLines/>
        <w:numPr>
          <w:ilvl w:val="0"/>
          <w:numId w:val="0"/>
        </w:numPr>
        <w:ind w:left="567"/>
      </w:pPr>
    </w:p>
    <w:p w:rsidRPr="002A3C87" w:rsidR="00196ADC" w:rsidP="00116B0F" w:rsidRDefault="00196ADC">
      <w:pPr>
        <w:pStyle w:val="Heading2"/>
        <w:ind w:left="567" w:hanging="567"/>
      </w:pPr>
      <w:r>
        <w:t>Det er afgørende at fremme retsstatsprincippet i partnerlandene. I den forbindelse spiller sociale organisationer, især fagforeninger, en central rolle. Dette sikrer, at sociale rettigheder og arbejdstageres rettigheder håndhæves. "Bæredygtig økonomisk vækst"</w:t>
      </w:r>
      <w:r w:rsidRPr="002A3C87" w:rsidR="00E941BF">
        <w:rPr>
          <w:rStyle w:val="FootnoteReference"/>
          <w:sz w:val="22"/>
        </w:rPr>
        <w:footnoteReference w:id="2"/>
      </w:r>
      <w:r>
        <w:t xml:space="preserve"> skal fremmes i overensstemmelse hermed i regionen. EU kan spille en afgørende rolle med hensyn til at forbedre erhvervsklimaet for at gøre det muligt for private virksomheder vinde fodfæste og vokse, undgå bureaukrati og lette oprettelsen af nye virksomheder. I den forbindelse kan virksomheder, navnlig SMV'er, virkelig blomstre og også skabe kvalitetsjob, der bidrager til at bekæmpe navnlig de sociale årsager til uønsket migration.</w:t>
      </w:r>
    </w:p>
    <w:p w:rsidRPr="002A3C87" w:rsidR="00122837" w:rsidP="00116B0F" w:rsidRDefault="00122837"/>
    <w:p w:rsidRPr="002A3C87" w:rsidR="00184E4F" w:rsidP="00116B0F" w:rsidRDefault="00122837">
      <w:pPr>
        <w:pStyle w:val="Heading2"/>
        <w:ind w:left="567" w:hanging="567"/>
      </w:pPr>
      <w:r>
        <w:t>Desuden fremmer god regeringsførelse, retsstatsprincippet og menneskerettighederne, herunder sociale rettigheder og arbejdstagerrettigheder, social dialog og lige adgang til domstolene fred, inklusiv velstand og stabilitet. EØSU opfordrer til, at der gøres en større indsats for at ILO's regler</w:t>
      </w:r>
      <w:r w:rsidRPr="002A3C87">
        <w:rPr>
          <w:rStyle w:val="FootnoteReference"/>
          <w:sz w:val="22"/>
        </w:rPr>
        <w:footnoteReference w:id="3"/>
      </w:r>
      <w:r>
        <w:rPr>
          <w:vertAlign w:val="superscript"/>
        </w:rPr>
        <w:t xml:space="preserve"> </w:t>
      </w:r>
      <w:r>
        <w:t xml:space="preserve">tages i betragtning og effektivt gennemføres i partnerlandene på grundlag af Agenda 2030. Det er vigtigt at reducere bureaukratiet for at forbedre samarbejdet mellem EU og partnerlandene. </w:t>
      </w:r>
    </w:p>
    <w:p w:rsidRPr="002A3C87" w:rsidR="00184E4F" w:rsidP="00116B0F" w:rsidRDefault="00184E4F"/>
    <w:p w:rsidRPr="002A3C87" w:rsidR="00122837" w:rsidP="00116B0F" w:rsidRDefault="00184E4F">
      <w:pPr>
        <w:pStyle w:val="Heading2"/>
        <w:ind w:left="567" w:hanging="567"/>
      </w:pPr>
      <w:r>
        <w:t xml:space="preserve">Et godt eksempel på god regeringsførelse i regionen er et klart fokus på at støtte Middelhavsunionen som et forum for udveksling og samarbejde. I september 2020 fornyede EØSU sit aftalememorandum for i en fælles indsats at øge inddragelsen af økonomiske og </w:t>
      </w:r>
      <w:r>
        <w:lastRenderedPageBreak/>
        <w:t xml:space="preserve">sociale aktører fra Middelhavsunionens lande for at nå målene i Pariserklæringen fra 2008 om aktiv deltagelse af civilsamfundet.  </w:t>
      </w:r>
    </w:p>
    <w:p w:rsidRPr="002A3C87" w:rsidR="00CD32FE" w:rsidP="00116B0F" w:rsidRDefault="00CD32FE"/>
    <w:p w:rsidRPr="002A3C87" w:rsidR="00122837" w:rsidP="00116B0F" w:rsidRDefault="00184E4F">
      <w:pPr>
        <w:pStyle w:val="Heading2"/>
        <w:ind w:left="567" w:hanging="567"/>
      </w:pPr>
      <w:r>
        <w:t>EØSU opfordrer til samarbejde med de sydlige partnere for at fremme etableringen af sunde informationsmiljøer og mediefrihed som foranstaltninger til at tackle desinformation og misinformation. Det er vigtigt at fremme god regeringsførelse gennem effektiv, retfærdig og gennemsigtig offentlig forvaltning, en mere resolut bekæmpelse af korruption og lige adgang til domstolene.</w:t>
      </w:r>
    </w:p>
    <w:p w:rsidRPr="002A3C87" w:rsidR="00382885" w:rsidP="00116B0F" w:rsidRDefault="00382885"/>
    <w:p w:rsidRPr="002A3C87" w:rsidR="00382885" w:rsidP="00116B0F" w:rsidRDefault="00382885">
      <w:pPr>
        <w:pStyle w:val="Heading1"/>
        <w:keepNext/>
        <w:tabs>
          <w:tab w:val="left" w:pos="567"/>
        </w:tabs>
        <w:ind w:left="567" w:hanging="567"/>
      </w:pPr>
      <w:r>
        <w:rPr>
          <w:b/>
        </w:rPr>
        <w:t>Styrkelse af modstandsdygtigheden, opbygning af velstand og udnyttelse af den digitale omstilling</w:t>
      </w:r>
    </w:p>
    <w:p w:rsidRPr="002A3C87" w:rsidR="00382885" w:rsidP="00116B0F" w:rsidRDefault="00382885">
      <w:pPr>
        <w:keepNext/>
      </w:pPr>
    </w:p>
    <w:p w:rsidRPr="002A3C87" w:rsidR="00382885" w:rsidP="00116B0F" w:rsidRDefault="00382885">
      <w:pPr>
        <w:pStyle w:val="Heading2"/>
        <w:ind w:left="567" w:hanging="567"/>
      </w:pPr>
      <w:r>
        <w:t>I meddelelsen foreslås det at hjælpe de sydlige partnere med "at drage fordel af den digitale omstilling og blive en konkurrent i den globale digitale økonomi". Arbejdstageres, selvstændiges og iværksætteres færdigheder bør fremmes specifikt, så de er klar til den digitale omstilling i arbejdslivet</w:t>
      </w:r>
      <w:r w:rsidRPr="002A3C87" w:rsidR="003C3112">
        <w:rPr>
          <w:rStyle w:val="FootnoteReference"/>
        </w:rPr>
        <w:footnoteReference w:id="4"/>
      </w:r>
      <w:r>
        <w:t>.</w:t>
      </w:r>
      <w:r>
        <w:rPr>
          <w:vertAlign w:val="superscript"/>
        </w:rPr>
        <w:t xml:space="preserve"> </w:t>
      </w:r>
      <w:r>
        <w:t xml:space="preserve"> </w:t>
      </w:r>
    </w:p>
    <w:p w:rsidRPr="002A3C87" w:rsidR="00122837" w:rsidP="00116B0F" w:rsidRDefault="00122837"/>
    <w:p w:rsidRPr="002A3C87" w:rsidR="00382885" w:rsidP="00116B0F" w:rsidRDefault="00122837">
      <w:pPr>
        <w:pStyle w:val="Heading2"/>
        <w:ind w:left="567" w:hanging="567"/>
      </w:pPr>
      <w:r>
        <w:t>Handel og investeringer bidrager til regionens udvikling. Støtte til integration af nordafrikanske lande i det afrikanske kontinentale frihandelsområde (CFTA) hilses velkommen. Regionalt økonomisk netværkssamarbejde mellem nordafrikanske partnerlande skal imidlertid også fremmes. Afskaffelsen af ikketoldmæssige handelshindringer (en væsentlig hindring for handelsintegrationen i regionen) bør fremmes i overensstemmelse hermed under hensyntagen til de eksisterende økonomiske asymmetrier. F.eks. er EU's forhandlinger med Tunesien og Marokko – DCFTA – gået i stå, fordi der ikke tages tilstrækkeligt hensyn til eksisterende asymmetrier</w:t>
      </w:r>
      <w:r w:rsidRPr="002A3C87">
        <w:rPr>
          <w:rStyle w:val="FootnoteReference"/>
          <w:sz w:val="22"/>
        </w:rPr>
        <w:footnoteReference w:id="5"/>
      </w:r>
      <w:r>
        <w:t xml:space="preserve">. </w:t>
      </w:r>
    </w:p>
    <w:p w:rsidRPr="002A3C87" w:rsidR="00E56DE6" w:rsidP="00116B0F" w:rsidRDefault="00E56DE6"/>
    <w:p w:rsidRPr="002A3C87" w:rsidR="00496EE7" w:rsidP="00116B0F" w:rsidRDefault="00382885">
      <w:pPr>
        <w:pStyle w:val="Heading2"/>
        <w:ind w:left="567" w:hanging="567"/>
      </w:pPr>
      <w:r>
        <w:t>Der lægges særlig vægt på at skabe muligheder for unge gennem beskæftigelses- og uddannelsesstøtteprogrammer med fokus på at øge adgangen til finansiering, især for SMV'er, som er langt de største arbejdsgivere i regionen, gennem anvendelse af nye finansielle instrumenter såsom risikovillig kapital. Det er også ønskværdigt at indføre mekanismer til omstilling fra uformel til formel økonomi baseret på selvstændig erhvervsvirksomhed og kvalitetsjob.</w:t>
      </w:r>
    </w:p>
    <w:p w:rsidRPr="002A3C87" w:rsidR="008D4BEA" w:rsidP="00116B0F" w:rsidRDefault="008D4BEA"/>
    <w:p w:rsidRPr="002A3C87" w:rsidR="008D4BEA" w:rsidP="00116B0F" w:rsidRDefault="00496EE7">
      <w:pPr>
        <w:pStyle w:val="Heading2"/>
        <w:ind w:left="567" w:hanging="567"/>
      </w:pPr>
      <w:r>
        <w:t xml:space="preserve">EØSU betragter almen uddannelse og erhvervsuddannelse og Erasmus+-ordninger i Middelhavsområdet som en prioritet for unge og som en mulighed for beskæftigelse, der fremmer overgangen fra skole til arbejde. Digital infrastruktur er en prioritet for regionen, og </w:t>
      </w:r>
      <w:r>
        <w:lastRenderedPageBreak/>
        <w:t>digitaliseringens indvirkning på arbejdet i form af hjemmearbejde giver arbejdstagerne større autonomi og balance mellem deres arbejds- og privatliv</w:t>
      </w:r>
      <w:r w:rsidRPr="002A3C87" w:rsidR="00941543">
        <w:rPr>
          <w:rStyle w:val="FootnoteReference"/>
        </w:rPr>
        <w:footnoteReference w:id="6"/>
      </w:r>
      <w:r>
        <w:t xml:space="preserve">.  </w:t>
      </w:r>
    </w:p>
    <w:p w:rsidRPr="002A3C87" w:rsidR="00941543" w:rsidP="00116B0F" w:rsidRDefault="00941543"/>
    <w:p w:rsidRPr="002A3C87" w:rsidR="00382885" w:rsidP="00116B0F" w:rsidRDefault="00382885">
      <w:pPr>
        <w:pStyle w:val="Heading2"/>
        <w:ind w:left="567" w:hanging="567"/>
      </w:pPr>
      <w:r>
        <w:t xml:space="preserve">Målet om at uddybe samarbejdet om cybersikkerhed og udnytte digital teknologi inden for retshåndhævelse "under fuld overholdelse af menneskerettighederne og de borgerlige frihedsrettigheder" giver anledning til bekymring i betragtning af den tidligere manglende gennemsigtighed i overholdelsen af menneskerettighederne i regionen. </w:t>
      </w:r>
    </w:p>
    <w:p w:rsidRPr="002A3C87" w:rsidR="00382885" w:rsidP="00116B0F" w:rsidRDefault="00382885"/>
    <w:p w:rsidRPr="002A3C87" w:rsidR="00382885" w:rsidP="00116B0F" w:rsidRDefault="00382885">
      <w:pPr>
        <w:pStyle w:val="Heading1"/>
        <w:keepNext/>
        <w:keepLines/>
        <w:ind w:left="567" w:hanging="567"/>
      </w:pPr>
      <w:r>
        <w:rPr>
          <w:b/>
        </w:rPr>
        <w:t>Fred og sikkerhed</w:t>
      </w:r>
    </w:p>
    <w:p w:rsidRPr="002A3C87" w:rsidR="00382885" w:rsidP="00116B0F" w:rsidRDefault="00382885">
      <w:pPr>
        <w:pStyle w:val="Heading2"/>
        <w:keepNext/>
        <w:keepLines/>
        <w:numPr>
          <w:ilvl w:val="0"/>
          <w:numId w:val="0"/>
        </w:numPr>
        <w:ind w:left="567"/>
      </w:pPr>
    </w:p>
    <w:p w:rsidRPr="002A3C87" w:rsidR="00382885" w:rsidP="00116B0F" w:rsidRDefault="00F60295">
      <w:pPr>
        <w:pStyle w:val="Heading2"/>
        <w:ind w:left="567" w:hanging="567"/>
      </w:pPr>
      <w:r>
        <w:t xml:space="preserve">Interne konflikter og regionale stridigheder, som fortsat raser i regionen (Vestsahara, Libyen, Israel/Palæstina, Syrien) udgør en stor udfordring. I meddelelsen understreges betydningen af, at forbindelserne mellem Israel og visse arabiske stater normaliseres, så der kan iværksættes nye initiativer. EØSU mener, at den sociale dialog mellem forskellige kulturer og civilisationer og den gensidige respekt er grundlaget for fred, stabilitet og fælles velstand i regionen. </w:t>
      </w:r>
    </w:p>
    <w:p w:rsidRPr="002A3C87" w:rsidR="00382885" w:rsidP="00116B0F" w:rsidRDefault="00382885"/>
    <w:p w:rsidRPr="002A3C87" w:rsidR="00382885" w:rsidP="00116B0F" w:rsidRDefault="00382885">
      <w:pPr>
        <w:pStyle w:val="Heading2"/>
        <w:ind w:left="567" w:hanging="567"/>
      </w:pPr>
      <w:r>
        <w:t>Kampen mod ekstremisme, radikalisering, cyberkriminalitet og organiseret kriminalitet skal navnlig respektere retsstatsprincippet og menneskerettighederne. Undtagelsestilstand er en ekstraordinær foranstaltning, hvor borgernes grundlæggende rettigheder fortsat skal respekteres fuldt ud.</w:t>
      </w:r>
    </w:p>
    <w:p w:rsidRPr="002A3C87" w:rsidR="00382885" w:rsidP="00116B0F" w:rsidRDefault="00382885"/>
    <w:p w:rsidRPr="002A3C87" w:rsidR="00122837" w:rsidP="00116B0F" w:rsidRDefault="00382885">
      <w:pPr>
        <w:pStyle w:val="Heading2"/>
        <w:ind w:left="567" w:hanging="567"/>
      </w:pPr>
      <w:r>
        <w:t>Meddelelsen lover at styrke det politimæssige og retl</w:t>
      </w:r>
      <w:r w:rsidR="00116B0F">
        <w:t>ige samarbejde mellem EU og ENP</w:t>
      </w:r>
      <w:r w:rsidR="00116B0F">
        <w:noBreakHyphen/>
      </w:r>
      <w:r>
        <w:t>landene i det sydlige partnerskab, også ved at forhandle samarbejdsaftaler mellem EU og de enkelte sydlige nabolande. I betragtning af samarbejdets lange historie er erklæringen om, at EU vil "samarbejde med de sydlige partnere for at sikre, at deres retshåndhævelses- og retssystemer opfylder høje standarder for databeskyttelse og respekterer menneskerettighederne" et skridt fremad med hensyn til at finde fælles fodslag.</w:t>
      </w:r>
    </w:p>
    <w:p w:rsidRPr="002A3C87" w:rsidR="00382885" w:rsidP="00116B0F" w:rsidRDefault="00382885"/>
    <w:p w:rsidRPr="002A3C87" w:rsidR="00382885" w:rsidP="00116B0F" w:rsidRDefault="00382885">
      <w:pPr>
        <w:pStyle w:val="Heading1"/>
        <w:keepNext/>
        <w:keepLines/>
        <w:ind w:left="567" w:hanging="567"/>
      </w:pPr>
      <w:r>
        <w:rPr>
          <w:b/>
        </w:rPr>
        <w:t>Migration og mobilitet</w:t>
      </w:r>
    </w:p>
    <w:p w:rsidRPr="002A3C87" w:rsidR="00382885" w:rsidP="00116B0F" w:rsidRDefault="00382885">
      <w:pPr>
        <w:keepNext/>
      </w:pPr>
    </w:p>
    <w:p w:rsidRPr="002A3C87" w:rsidR="00651F99" w:rsidP="00116B0F" w:rsidRDefault="00382885">
      <w:pPr>
        <w:pStyle w:val="Heading2"/>
        <w:ind w:left="567" w:hanging="567"/>
      </w:pPr>
      <w:r>
        <w:t>Meddelelsens bestemmelser om migrationsstyring gør det muligt, at økonomisk bistand i det mindste delvist kan afhænge af samarbejde på dette område. EØSU støtter, at EU aktivt vil arbejde på at tackle de grundlæggende årsager til irregulær migration og tvangsfordrivelse gennem konfliktløsning og ved at tackle de socioøkonomiske udfordringer, der er blevet forværret af covid-19, med skræddersyede løsninger, der er tilpasset partnerne i det sydlige Middelhavsområde. Overholdelse af menneskerettighederne (Genèvekonventionen) er grundlaget for ethvert samarbejde på migrationsområdet. Manglende samarbejdsvilje kan kun imødegås med "incitamenter"</w:t>
      </w:r>
      <w:r w:rsidRPr="002A3C87" w:rsidR="002E0A85">
        <w:rPr>
          <w:rStyle w:val="FootnoteReference"/>
        </w:rPr>
        <w:footnoteReference w:id="7"/>
      </w:r>
      <w:r>
        <w:t>.</w:t>
      </w:r>
    </w:p>
    <w:p w:rsidRPr="002A3C87" w:rsidR="00651F99" w:rsidP="00116B0F" w:rsidRDefault="00651F99"/>
    <w:p w:rsidRPr="002A3C87" w:rsidR="00382885" w:rsidP="00116B0F" w:rsidRDefault="00382885">
      <w:pPr>
        <w:pStyle w:val="Heading2"/>
        <w:keepNext/>
        <w:keepLines/>
        <w:ind w:left="567" w:hanging="567"/>
      </w:pPr>
      <w:r>
        <w:lastRenderedPageBreak/>
        <w:t>I meddelelsen foreslås det at fremme "talentpartnerskaber", sådan som foreslået i EU's nye pagt om migration og asyl. Det ser ud til, at det nye instrument har til formål at fremme samarbejdet med tredjelande. Dette kunne være et potentielt område, hvor erhvervsuddannelse, virksomhedsnetværk, interregionale værdikæder og cirkulær migration kan knyttes sammen til gavn for borgerne og økonomierne på begge sider af Middelhavet. Under alle omstændigheder skal disse planer forenes med behovet for at bevare tilstrækkeligt kvalificeret arbejdskraft i partnerlandene, hvilket er afgørende for deres bæredygtige økonomiske udvikling.</w:t>
      </w:r>
    </w:p>
    <w:p w:rsidRPr="002A3C87" w:rsidR="00382885" w:rsidP="00116B0F" w:rsidRDefault="00382885">
      <w:pPr>
        <w:pStyle w:val="Heading2"/>
        <w:numPr>
          <w:ilvl w:val="0"/>
          <w:numId w:val="0"/>
        </w:numPr>
        <w:ind w:left="567"/>
      </w:pPr>
    </w:p>
    <w:p w:rsidRPr="002A3C87" w:rsidR="00382885" w:rsidP="00116B0F" w:rsidRDefault="00382885">
      <w:pPr>
        <w:pStyle w:val="Heading1"/>
        <w:keepNext/>
        <w:tabs>
          <w:tab w:val="left" w:pos="567"/>
        </w:tabs>
      </w:pPr>
      <w:r>
        <w:rPr>
          <w:b/>
        </w:rPr>
        <w:t>Den grønne omstilling: klimaresiliens, energi og miljø</w:t>
      </w:r>
    </w:p>
    <w:p w:rsidRPr="002A3C87" w:rsidR="00382885" w:rsidP="00116B0F" w:rsidRDefault="00382885">
      <w:pPr>
        <w:keepNext/>
      </w:pPr>
    </w:p>
    <w:p w:rsidRPr="002A3C87" w:rsidR="00382885" w:rsidP="00116B0F" w:rsidRDefault="00382885">
      <w:pPr>
        <w:pStyle w:val="Heading2"/>
        <w:ind w:left="567" w:hanging="567"/>
      </w:pPr>
      <w:r>
        <w:t xml:space="preserve">Meddelelsen anerkender de sydlige nabolandes potentiale for udvikling af vedvarende energi, navnlig sol- og vindenergi, og brintproduktion, som den anser for at være en "ny strategisk prioritet". Potentialet hænger klart sammen med den europæiske grønne pagt og den stadig større integration af prioriteter for bæredygtig udvikling i det internationale globale samarbejde. I den forbindelse påpeger EØSU, at det ud over (internationale) storstilede projekter er vigtigt at støtte projekter med en direkte lokal socioøkonomisk virkning.  </w:t>
      </w:r>
    </w:p>
    <w:p w:rsidRPr="002A3C87" w:rsidR="00382885" w:rsidP="00116B0F" w:rsidRDefault="00382885"/>
    <w:p w:rsidRPr="002A3C87" w:rsidR="00941543" w:rsidP="00116B0F" w:rsidRDefault="00382885">
      <w:pPr>
        <w:pStyle w:val="Heading2"/>
        <w:ind w:left="567" w:hanging="567"/>
      </w:pPr>
      <w:r>
        <w:t>Den europæiske grønne pagt bør anvendes til at skabe særlige fordele for landbruget – en sektor, der er afgørende for økonomierne i de fleste lande uden for EU – med initiativer, der tager sigte på at genopdage og beskytte Middelhavet. Den blå økonomi er et effektivt redskab til at forvalte Middelhavsområdets fælles aktiver, og EØSU understreger behovet for at gøre status over Middelhavsunionens ministererklæring om en bæredygtig blå økonomi i det vestlige Middelhavsområde.</w:t>
      </w:r>
    </w:p>
    <w:p w:rsidRPr="002A3C87" w:rsidR="00382885" w:rsidP="00116B0F" w:rsidRDefault="00382885">
      <w:pPr>
        <w:pStyle w:val="Heading2"/>
        <w:numPr>
          <w:ilvl w:val="0"/>
          <w:numId w:val="0"/>
        </w:numPr>
        <w:ind w:left="142"/>
      </w:pPr>
    </w:p>
    <w:p w:rsidRPr="002A3C87" w:rsidR="00933ECA" w:rsidP="00116B0F" w:rsidRDefault="00933ECA">
      <w:pPr>
        <w:pStyle w:val="Heading2"/>
        <w:ind w:left="567" w:hanging="567"/>
      </w:pPr>
      <w:r>
        <w:t xml:space="preserve">EØSU mener, at konklusionerne i den første evaluerede rapport i Middelhavsområdet fra MedECC om indvirkningen på klima- og miljøændringerne og deres konsekvenser i regioner, som blev sponsoreret af Middelhavsunionen, er særlig relevante, idet der foreslås områder for fælles samarbejde mellem begge kyster, der står over for fælles udfordringer med hensyn til bæredygtig modstandsdygtighed og modstandsdygtighed over for klimaændringer, for at fremme omstillingen til en grøn, blå og cirkulær økonomi i regionen. </w:t>
      </w:r>
    </w:p>
    <w:p w:rsidRPr="002A3C87" w:rsidR="00382885" w:rsidP="00116B0F" w:rsidRDefault="00382885"/>
    <w:p w:rsidRPr="002A3C87" w:rsidR="00AF373F" w:rsidP="00116B0F" w:rsidRDefault="00AD47A2">
      <w:pPr>
        <w:pStyle w:val="Heading1"/>
        <w:keepNext/>
        <w:keepLines/>
        <w:ind w:left="567" w:hanging="567"/>
        <w:rPr>
          <w:b/>
        </w:rPr>
      </w:pPr>
      <w:r>
        <w:rPr>
          <w:b/>
        </w:rPr>
        <w:t>Ligestilling mellem kønnene og kvinders rettigheder, LGBTIQ+ og personer med handicap på begge sider af Middelhavet</w:t>
      </w:r>
    </w:p>
    <w:p w:rsidRPr="002A3C87" w:rsidR="00941543" w:rsidP="00116B0F" w:rsidRDefault="00941543">
      <w:pPr>
        <w:keepNext/>
        <w:keepLines/>
      </w:pPr>
    </w:p>
    <w:p w:rsidRPr="002A3C87" w:rsidR="001204E5" w:rsidP="00116B0F" w:rsidRDefault="00382885">
      <w:pPr>
        <w:pStyle w:val="Heading2"/>
        <w:ind w:left="567" w:hanging="567"/>
      </w:pPr>
      <w:r>
        <w:t xml:space="preserve">Ekstremt højreorienterede nationalistiske bevægelser i hele Europa og konservative og islamistiske bevægelser på den sydlige kyst, der både bruger traditionelt og religiøst sprog, har på det seneste i stigende grad reageret mod ligestilling mellem kønnene. </w:t>
      </w:r>
    </w:p>
    <w:p w:rsidRPr="002A3C87" w:rsidR="00F70444" w:rsidP="00116B0F" w:rsidRDefault="00F70444"/>
    <w:p w:rsidRPr="002A3C87" w:rsidR="0061350B" w:rsidP="00116B0F" w:rsidRDefault="0061350B">
      <w:pPr>
        <w:pStyle w:val="Heading2"/>
        <w:ind w:left="567" w:hanging="567"/>
      </w:pPr>
      <w:r>
        <w:t>EØSU bifalder Middelhavsunionens initiativ til at etablere frivillige overvågningsmekanismer af de forpligtelser, som regeringerne i regionen har indgået vedrørende ligestillingsstandarder i form af konkrete indikatorer.</w:t>
      </w:r>
    </w:p>
    <w:p w:rsidRPr="002A3C87" w:rsidR="0061350B" w:rsidP="00116B0F" w:rsidRDefault="0061350B"/>
    <w:p w:rsidRPr="002A3C87" w:rsidR="001204E5" w:rsidP="00116B0F" w:rsidRDefault="00382885">
      <w:pPr>
        <w:pStyle w:val="Heading2"/>
        <w:ind w:left="567" w:hanging="567"/>
      </w:pPr>
      <w:r>
        <w:t xml:space="preserve">Covid-19-pandemien har kun forværret situationen. For det første har illiberale og autokratiske regeringer benyttet lejligheden til at fortsætte deres angreb på rettighederne for kvinder og LGBTIQ+. For det andet har forskellige statslige foranstaltninger, der er truffet som reaktion på pandemien, rent faktisk forværret levevilkårene for kvinder, LGBT++ og personer med </w:t>
      </w:r>
      <w:r>
        <w:lastRenderedPageBreak/>
        <w:t>handicap, hvilket gør det afgørende at fremme initiativer til beskyttelse af disse gruppers rettigheder og deres socioøkonomiske, samfundsmæssige og politiske deltagelse.</w:t>
      </w:r>
    </w:p>
    <w:p w:rsidRPr="002A3C87" w:rsidR="00941543" w:rsidP="00116B0F" w:rsidRDefault="00941543"/>
    <w:p w:rsidRPr="002A3C87" w:rsidR="00941543" w:rsidP="00116B0F" w:rsidRDefault="00BB38F6">
      <w:pPr>
        <w:pStyle w:val="Heading2"/>
        <w:ind w:left="567" w:hanging="567"/>
      </w:pPr>
      <w:r>
        <w:t>EU bør intensivere sin indsats og sit samarbejde på stedet for at sikre, at grundlæggende rettigheder for LGBTIQ+ respekteres uden undtagelse, at de ingen steder er genstand for strafferetlig forfølgelse, og at deres deltagelse i det offentlige liv styrkes</w:t>
      </w:r>
      <w:r w:rsidRPr="002A3C87" w:rsidR="002E0A85">
        <w:rPr>
          <w:rStyle w:val="FootnoteReference"/>
        </w:rPr>
        <w:footnoteReference w:id="8"/>
      </w:r>
      <w:r>
        <w:t>.</w:t>
      </w:r>
    </w:p>
    <w:p w:rsidRPr="002A3C87" w:rsidR="00B34671" w:rsidP="00116B0F" w:rsidRDefault="00B34671">
      <w:pPr>
        <w:pStyle w:val="Heading2"/>
        <w:numPr>
          <w:ilvl w:val="0"/>
          <w:numId w:val="0"/>
        </w:numPr>
        <w:ind w:left="142"/>
      </w:pPr>
    </w:p>
    <w:p w:rsidRPr="002A3C87" w:rsidR="0087707D" w:rsidP="00116B0F" w:rsidRDefault="0061350B">
      <w:pPr>
        <w:pStyle w:val="Heading2"/>
        <w:ind w:left="567" w:hanging="567"/>
      </w:pPr>
      <w:r>
        <w:t>Selv om mange partnerlande har undertegnet FN's konvention om rettigheder for personer med handicap, er der stadig et stort behov for at forbedre deres levevilkår. EU bør derfor påtage sig en særlig forpligtelse til at gennemføre rettighederne for personer med handicap som fastsat i FN-konventionen.</w:t>
      </w:r>
    </w:p>
    <w:p w:rsidR="006764BA" w:rsidP="00116B0F" w:rsidRDefault="006764BA"/>
    <w:p w:rsidRPr="002A3C87" w:rsidR="002B6F5D" w:rsidP="00116B0F" w:rsidRDefault="002B6F5D">
      <w:r>
        <w:t>Bruxelles, den 7. juli 2021</w:t>
      </w:r>
    </w:p>
    <w:p w:rsidRPr="002A3C87" w:rsidR="002B6F5D" w:rsidP="00116B0F" w:rsidRDefault="002B6F5D"/>
    <w:p w:rsidRPr="002A3C87" w:rsidR="002B6F5D" w:rsidP="00116B0F" w:rsidRDefault="002B6F5D"/>
    <w:p w:rsidRPr="002A3C87" w:rsidR="002B6F5D" w:rsidP="00116B0F" w:rsidRDefault="002B6F5D"/>
    <w:p w:rsidRPr="002A3C87" w:rsidR="002B6F5D" w:rsidP="00116B0F" w:rsidRDefault="002B6F5D"/>
    <w:p w:rsidRPr="002A3C87" w:rsidR="002B6F5D" w:rsidP="00116B0F" w:rsidRDefault="009701FC">
      <w:r>
        <w:t>Christa Schweng</w:t>
      </w:r>
    </w:p>
    <w:p w:rsidRPr="002A3C87" w:rsidR="0087707D" w:rsidP="00116B0F" w:rsidRDefault="002B6F5D">
      <w:r>
        <w:t>Formand for Det Europæiske Økonomiske og Sociale Udvalg</w:t>
      </w:r>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116B0F">
      <w:rPr>
        <w:noProof/>
      </w:rPr>
      <w:t>1</w:t>
    </w:r>
    <w:r>
      <w:fldChar w:fldCharType="end"/>
    </w:r>
    <w:r>
      <w:t>/</w:t>
    </w:r>
    <w:r w:rsidR="00116B0F">
      <w:fldChar w:fldCharType="begin"/>
    </w:r>
    <w:r w:rsidR="00116B0F">
      <w:instrText xml:space="preserve"> NUMPAGES </w:instrText>
    </w:r>
    <w:r w:rsidR="00116B0F">
      <w:fldChar w:fldCharType="separate"/>
    </w:r>
    <w:r w:rsidR="00116B0F">
      <w:rPr>
        <w:noProof/>
      </w:rPr>
      <w:t>9</w:t>
    </w:r>
    <w:r w:rsidR="00116B0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116B0F">
      <w:rPr>
        <w:noProof/>
      </w:rPr>
      <w:t>9</w:t>
    </w:r>
    <w:r>
      <w:fldChar w:fldCharType="end"/>
    </w:r>
    <w:r>
      <w:t>/</w:t>
    </w:r>
    <w:r w:rsidR="00116B0F">
      <w:fldChar w:fldCharType="begin"/>
    </w:r>
    <w:r w:rsidR="00116B0F">
      <w:instrText xml:space="preserve"> NUMPAGES </w:instrText>
    </w:r>
    <w:r w:rsidR="00116B0F">
      <w:fldChar w:fldCharType="separate"/>
    </w:r>
    <w:r w:rsidR="00116B0F">
      <w:rPr>
        <w:noProof/>
      </w:rPr>
      <w:t>9</w:t>
    </w:r>
    <w:r w:rsidR="00116B0F">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Verdensmål for bæredygtig udvikling, </w:t>
      </w:r>
      <w:hyperlink r:id="rId1" w:anchor="decent-work-and-economic-growth" w:history="1">
        <w:r>
          <w:rPr>
            <w:rStyle w:val="Hyperlink"/>
          </w:rPr>
          <w:t xml:space="preserve">mål 8: Anstændige </w:t>
        </w:r>
        <w:r>
          <w:rPr>
            <w:rStyle w:val="Hyperlink"/>
          </w:rPr>
          <w:t>j</w:t>
        </w:r>
        <w:r>
          <w:rPr>
            <w:rStyle w:val="Hyperlink"/>
          </w:rPr>
          <w:t>obs og økonomisk vækst</w:t>
        </w:r>
      </w:hyperlink>
      <w:r>
        <w:t>.</w:t>
      </w:r>
    </w:p>
  </w:footnote>
  <w:footnote w:id="3">
    <w:p w:rsidR="00122837" w:rsidRPr="00371877" w:rsidRDefault="00122837">
      <w:pPr>
        <w:pStyle w:val="FootnoteText"/>
        <w:spacing w:after="0"/>
      </w:pPr>
      <w:r>
        <w:rPr>
          <w:rStyle w:val="FootnoteReference"/>
        </w:rPr>
        <w:footnoteRef/>
      </w:r>
      <w:r>
        <w:t xml:space="preserve"> </w:t>
      </w:r>
      <w:r>
        <w:tab/>
        <w:t xml:space="preserve">Som fastsat i de grundlæggende konventioner og navnlig i ILO's trepartserklæring om principper for multinationale virksomheder og socialpolitik (punkt 2.2 i Det Europæiske Økonomiske og Sociale Udvalgs udtalelse om </w:t>
      </w:r>
      <w:r>
        <w:rPr>
          <w:i/>
        </w:rPr>
        <w:t>Obligatorisk due diligence</w:t>
      </w:r>
      <w:r>
        <w:t xml:space="preserve">, </w:t>
      </w:r>
      <w:hyperlink r:id="rId2" w:history="1">
        <w:r>
          <w:rPr>
            <w:rStyle w:val="Hyperlink"/>
          </w:rPr>
          <w:t>EUT C 429 af 11.12.2020, s. 136</w:t>
        </w:r>
      </w:hyperlink>
      <w:r>
        <w:t>).</w:t>
      </w:r>
    </w:p>
  </w:footnote>
  <w:footnote w:id="4">
    <w:p w:rsidR="003C3112" w:rsidRPr="00371877" w:rsidRDefault="003C3112">
      <w:pPr>
        <w:pStyle w:val="FootnoteText"/>
      </w:pPr>
      <w:r>
        <w:rPr>
          <w:rStyle w:val="FootnoteReference"/>
        </w:rPr>
        <w:footnoteRef/>
      </w:r>
      <w:r>
        <w:rPr>
          <w:sz w:val="24"/>
          <w:szCs w:val="24"/>
        </w:rPr>
        <w:tab/>
      </w:r>
      <w:r>
        <w:t xml:space="preserve">Punkt 2.4.1 og 2.4.4 i Det Europæiske Økonomiske og Sociale Udvalgs informationsrapport om </w:t>
      </w:r>
      <w:r>
        <w:rPr>
          <w:i/>
        </w:rPr>
        <w:t>Digitalisering og SMV'er i Middelhavsområdet</w:t>
      </w:r>
      <w:r>
        <w:t xml:space="preserve"> (REX/519).</w:t>
      </w:r>
    </w:p>
  </w:footnote>
  <w:footnote w:id="5">
    <w:p w:rsidR="00122837" w:rsidRPr="00371877" w:rsidRDefault="00122837" w:rsidP="00122837">
      <w:pPr>
        <w:pStyle w:val="FootnoteText"/>
      </w:pPr>
      <w:r>
        <w:rPr>
          <w:rStyle w:val="FootnoteReference"/>
        </w:rPr>
        <w:footnoteRef/>
      </w:r>
      <w:r>
        <w:tab/>
        <w:t xml:space="preserve">Punkt 3.2.9 og 4.1.2 i Det Europæiske Økonomiske og Sociale Udvalgs udtalelse om </w:t>
      </w:r>
      <w:r>
        <w:rPr>
          <w:i/>
        </w:rPr>
        <w:t>EU og Afrika: Realisering af et ligeværdigt udviklingspartnerskab baseret på bæredygtighed og fælles værdier</w:t>
      </w:r>
      <w:r>
        <w:t xml:space="preserve">, </w:t>
      </w:r>
      <w:hyperlink r:id="rId3" w:history="1">
        <w:r>
          <w:rPr>
            <w:rStyle w:val="Hyperlink"/>
          </w:rPr>
          <w:t>EUT C 429 af 11.12.2020, s. 105</w:t>
        </w:r>
      </w:hyperlink>
      <w:r>
        <w:t xml:space="preserve"> og punkt 4.1 og 6.1 i Det Europæiske Økonomiske og Sociale Udvalgs udtalelse om </w:t>
      </w:r>
      <w:r>
        <w:rPr>
          <w:i/>
        </w:rPr>
        <w:t>Bistand til tredjelande, investeringer og handel som instrumenter til at mindske årsagerne til den økonomiske migration med særligt fokus på Afrika</w:t>
      </w:r>
      <w:r>
        <w:t xml:space="preserve">, </w:t>
      </w:r>
      <w:hyperlink r:id="rId4" w:history="1">
        <w:r>
          <w:rPr>
            <w:rStyle w:val="Hyperlink"/>
          </w:rPr>
          <w:t>EUT C 97 af 24.3.2020, s. 18</w:t>
        </w:r>
      </w:hyperlink>
      <w:r>
        <w:t>.</w:t>
      </w:r>
    </w:p>
  </w:footnote>
  <w:footnote w:id="6">
    <w:p w:rsidR="00941543" w:rsidRPr="00DA1B1D" w:rsidRDefault="00941543">
      <w:pPr>
        <w:pStyle w:val="FootnoteText"/>
      </w:pPr>
      <w:r>
        <w:rPr>
          <w:rStyle w:val="FootnoteReference"/>
        </w:rPr>
        <w:footnoteRef/>
      </w:r>
      <w:r>
        <w:tab/>
        <w:t xml:space="preserve">Punkt 1.12 og 2.2.7 i Det Europæiske Økonomiske og Sociale Udvalgs informationsrapport om </w:t>
      </w:r>
      <w:r>
        <w:rPr>
          <w:i/>
        </w:rPr>
        <w:t>Digitalisering og SMV'er i Middelhavsområdet</w:t>
      </w:r>
      <w:r>
        <w:t xml:space="preserve"> (REX/519).</w:t>
      </w:r>
    </w:p>
  </w:footnote>
  <w:footnote w:id="7">
    <w:p w:rsidR="002E0A85" w:rsidRPr="00DA1B1D" w:rsidRDefault="002E0A85">
      <w:pPr>
        <w:pStyle w:val="FootnoteText"/>
      </w:pPr>
      <w:r>
        <w:rPr>
          <w:rStyle w:val="FootnoteReference"/>
        </w:rPr>
        <w:footnoteRef/>
      </w:r>
      <w:r>
        <w:t xml:space="preserve"> </w:t>
      </w:r>
      <w:r>
        <w:tab/>
        <w:t xml:space="preserve">Interview med migrationsekspert Gerald Knaus: </w:t>
      </w:r>
      <w:hyperlink r:id="rId5" w:history="1">
        <w:r>
          <w:rPr>
            <w:rStyle w:val="Hyperlink"/>
          </w:rPr>
          <w:t>https://www.dw.com/de/knaus-eu-migrationspakt-ist-unrealistisch/a-55058035</w:t>
        </w:r>
      </w:hyperlink>
      <w:r>
        <w:t>.</w:t>
      </w:r>
    </w:p>
  </w:footnote>
  <w:footnote w:id="8">
    <w:p w:rsidR="002E0A85" w:rsidRPr="00DA1B1D" w:rsidRDefault="002E0A85">
      <w:pPr>
        <w:pStyle w:val="FootnoteText"/>
      </w:pPr>
      <w:r>
        <w:rPr>
          <w:rStyle w:val="FootnoteReference"/>
        </w:rPr>
        <w:footnoteRef/>
      </w:r>
      <w:r>
        <w:tab/>
        <w:t>Punkt 1.11 i Det Europæiske Økonomiske og Sociale Udvalgs udtalelse om</w:t>
      </w:r>
      <w:r>
        <w:rPr>
          <w:i/>
        </w:rPr>
        <w:t xml:space="preserve"> En Union med lige muligheder: Strategi for ligestilling af LGBTIQ-personer 2020-2025</w:t>
      </w:r>
      <w:r>
        <w:t xml:space="preserve">, </w:t>
      </w:r>
      <w:hyperlink r:id="rId6" w:history="1">
        <w:r>
          <w:rPr>
            <w:rStyle w:val="Hyperlink"/>
          </w:rPr>
          <w:t>EUT C 286 af 16.7.2021,s. 128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ctiveWritingStyle w:lang="da-DK"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16B0F"/>
    <w:rsid w:val="001204E5"/>
    <w:rsid w:val="0012220C"/>
    <w:rsid w:val="00122837"/>
    <w:rsid w:val="00124225"/>
    <w:rsid w:val="001279BA"/>
    <w:rsid w:val="00136EA3"/>
    <w:rsid w:val="00137575"/>
    <w:rsid w:val="00137D78"/>
    <w:rsid w:val="00144231"/>
    <w:rsid w:val="00150434"/>
    <w:rsid w:val="00155721"/>
    <w:rsid w:val="00155AD1"/>
    <w:rsid w:val="00156A6B"/>
    <w:rsid w:val="001628B4"/>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EC7A18C"/>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a-DK"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DA/TXT/?uri=CELEX:52020IE1715" TargetMode="External"/><Relationship Id="rId2" Type="http://schemas.openxmlformats.org/officeDocument/2006/relationships/hyperlink" Target="https://eur-lex.europa.eu/legal-content/DA/TXT/?uri=CELEX%3A52020AE2926" TargetMode="External"/><Relationship Id="rId1" Type="http://schemas.openxmlformats.org/officeDocument/2006/relationships/hyperlink" Target="https://www.undp.org/sustainable-development-goals" TargetMode="External"/><Relationship Id="rId6" Type="http://schemas.openxmlformats.org/officeDocument/2006/relationships/hyperlink" Target="https://eur-lex.europa.eu/legal-content/DA/TXT/?uri=uriserv:OJ.C_.2021.286.01.0128.01.DAN&amp;toc=OJ:C:2021:286:TOC" TargetMode="External"/><Relationship Id="rId5" Type="http://schemas.openxmlformats.org/officeDocument/2006/relationships/hyperlink" Target="https://www.dw.com/de/knaus-eu-migrationspakt-ist-unrealistisch/a-55058035" TargetMode="External"/><Relationship Id="rId4" Type="http://schemas.openxmlformats.org/officeDocument/2006/relationships/hyperlink" Target="https://eur-lex.europa.eu/legal-content/DA/TXT/?uri=CELEX:52019IE2059"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V63NAVDT5PV3-2031897445-8338</_dlc_DocId>
    <_dlc_DocIdUrl xmlns="01cfe264-354f-4f3f-acd0-cf26eb309336">
      <Url>http://dm2016/eesc/2021/_layouts/15/DocIdRedir.aspx?ID=V63NAVDT5PV3-2031897445-8338</Url>
      <Description>V63NAVDT5PV3-2031897445-8338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Thystrup Elin</DisplayName>
        <AccountId>1858</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AA40889F-1ABF-4EA8-BEBA-0045046CF58F}"/>
</file>

<file path=customXml/itemProps2.xml><?xml version="1.0" encoding="utf-8"?>
<ds:datastoreItem xmlns:ds="http://schemas.openxmlformats.org/officeDocument/2006/customXml" ds:itemID="{19574BA4-AF3C-49A5-BC0A-76A9123F35B0}"/>
</file>

<file path=customXml/itemProps3.xml><?xml version="1.0" encoding="utf-8"?>
<ds:datastoreItem xmlns:ds="http://schemas.openxmlformats.org/officeDocument/2006/customXml" ds:itemID="{2BABD8E9-5BA3-48FA-B06F-1E1F1E111009}"/>
</file>

<file path=customXml/itemProps4.xml><?xml version="1.0" encoding="utf-8"?>
<ds:datastoreItem xmlns:ds="http://schemas.openxmlformats.org/officeDocument/2006/customXml" ds:itemID="{6DF97AC1-724B-4342-B468-852EBFF21805}"/>
</file>

<file path=docProps/app.xml><?xml version="1.0" encoding="utf-8"?>
<Properties xmlns="http://schemas.openxmlformats.org/officeDocument/2006/extended-properties" xmlns:vt="http://schemas.openxmlformats.org/officeDocument/2006/docPropsVTypes">
  <Template>Styles</Template>
  <TotalTime>14</TotalTime>
  <Pages>9</Pages>
  <Words>2662</Words>
  <Characters>15174</Characters>
  <Application>Microsoft Office Word</Application>
  <DocSecurity>0</DocSecurity>
  <Lines>126</Lines>
  <Paragraphs>35</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17801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Fornyet partnerskab med de sydlige nabolande - En ny dagsorden for Middelhavsområdet</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Thystrup Elin</cp:lastModifiedBy>
  <cp:revision>8</cp:revision>
  <cp:lastPrinted>2021-05-17T06:27:00Z</cp:lastPrinted>
  <dcterms:created xsi:type="dcterms:W3CDTF">2021-07-20T16:49:00Z</dcterms:created>
  <dcterms:modified xsi:type="dcterms:W3CDTF">2021-07-22T09:12:00Z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a155cd60-fdb0-42d3-b1fb-d08e5ccdacc7</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E|f6b31e5a-26fa-4935-b661-318e46daf27e;FR|d2afafd3-4c81-4f60-8f52-ee33f2f54ff3;SV|c2ed69e7-a339-43d7-8f22-d93680a92aa0;SK|46d9fce0-ef79-4f71-b89b-cd6aa82426b8;ES|e7a6b05b-ae16-40c8-add9-68b64b03aeba;CS|72f9705b-0217-4fd3-bea2-cbc7ed80e26e;NL|55c6556c-b4f4-441d-9acf-c498d4f838bd;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28;#ES|e7a6b05b-ae16-40c8-add9-68b64b03aeba;#25;#CS|72f9705b-0217-4fd3-bea2-cbc7ed80e26e;#86;#AC|a4cc1d15-fb08-4679-ad46-e4e0cba5fe92;#19;#SK|46d9fce0-ef79-4f71-b89b-cd6aa82426b8;#17;#NL|55c6556c-b4f4-441d-9acf-c498d4f838bd;#13;#PT|50ccc04a-eadd-42ae-a0cb-acaf45f812ba;#40;#SV|c2ed69e7-a339-43d7-8f22-d93680a92aa0;#11;#DE|f6b31e5a-26fa-4935-b661-318e46daf27e;#9;#EN|f2175f21-25d7-44a3-96da-d6a61b075e1b;#7;#TRA|150d2a88-1431-44e6-a8ca-0bb753ab8672;#6;#Final|ea5e6674-7b27-4bac-b091-73adbb394efe;#5;#Unrestricted|826e22d7-d029-4ec0-a450-0c28ff673572;#4;#FR|d2afafd3-4c81-4f60-8f52-ee33f2f54ff3;#77;#REX|6820eaf5-116e-436b-ad9c-156f8a94c2a1;#1;#EESC|422833ec-8d7e-4e65-8e4e-8bed07ffb729</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12;#DA|5d49c027-8956-412b-aa16-e85a0f96ad0e</vt:lpwstr>
  </property>
</Properties>
</file>