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32E1A" w14:textId="69E071C4" w:rsidR="00646AC2" w:rsidRPr="007133BD" w:rsidRDefault="00EA71F8" w:rsidP="003E0EB4">
      <w:pPr>
        <w:overflowPunct/>
        <w:adjustRightInd/>
        <w:jc w:val="center"/>
        <w:textAlignment w:val="auto"/>
      </w:pPr>
      <w:r>
        <w:rPr>
          <w:noProof/>
          <w:lang w:val="en-US"/>
        </w:rPr>
        <w:drawing>
          <wp:inline distT="0" distB="0" distL="0" distR="0" wp14:anchorId="44641CB0" wp14:editId="3B97CB70">
            <wp:extent cx="1792605" cy="1239520"/>
            <wp:effectExtent l="0" t="0" r="0" b="0"/>
            <wp:docPr id="1" name="Picture 1" title="EESC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E0EB4">
        <w:rPr>
          <w:noProof/>
          <w:sz w:val="20"/>
          <w:lang w:val="en-US"/>
        </w:rPr>
        <mc:AlternateContent>
          <mc:Choice Requires="wps">
            <w:drawing>
              <wp:anchor distT="0" distB="0" distL="114300" distR="114300" simplePos="0" relativeHeight="251659264" behindDoc="1" locked="0" layoutInCell="0" allowOverlap="1" wp14:anchorId="6F0B0B60" wp14:editId="62796057">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8C6D3" w14:textId="77777777" w:rsidR="00835FF9" w:rsidRPr="00260E65" w:rsidRDefault="00835FF9">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0B0B60"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05C8C6D3" w14:textId="77777777" w:rsidR="00835FF9" w:rsidRPr="00260E65" w:rsidRDefault="00835FF9">
                      <w:pPr>
                        <w:jc w:val="center"/>
                        <w:rPr>
                          <w:rFonts w:ascii="Arial" w:hAnsi="Arial" w:cs="Arial"/>
                          <w:b/>
                          <w:bCs/>
                          <w:sz w:val="48"/>
                        </w:rPr>
                      </w:pPr>
                      <w:r>
                        <w:rPr>
                          <w:rFonts w:ascii="Arial" w:hAnsi="Arial"/>
                          <w:b/>
                          <w:bCs/>
                          <w:sz w:val="48"/>
                        </w:rPr>
                        <w:t>NL</w:t>
                      </w:r>
                    </w:p>
                  </w:txbxContent>
                </v:textbox>
                <w10:wrap anchorx="page" anchory="page"/>
              </v:shape>
            </w:pict>
          </mc:Fallback>
        </mc:AlternateContent>
      </w:r>
    </w:p>
    <w:p w14:paraId="05AC8FF6" w14:textId="77777777" w:rsidR="003E0EB4" w:rsidRPr="007133BD" w:rsidRDefault="003E0EB4" w:rsidP="003E0EB4">
      <w:pPr>
        <w:overflowPunct/>
        <w:adjustRightInd/>
        <w:jc w:val="left"/>
        <w:textAlignment w:val="auto"/>
      </w:pPr>
    </w:p>
    <w:p w14:paraId="481B9527" w14:textId="77777777" w:rsidR="00646AC2" w:rsidRPr="007133BD" w:rsidRDefault="000E3743" w:rsidP="00375C20">
      <w:pPr>
        <w:overflowPunct/>
        <w:adjustRightInd/>
        <w:jc w:val="right"/>
        <w:textAlignment w:val="auto"/>
      </w:pPr>
      <w:r>
        <w:rPr>
          <w:b/>
        </w:rPr>
        <w:t>INT/942</w:t>
      </w:r>
    </w:p>
    <w:p w14:paraId="6535C944" w14:textId="77777777" w:rsidR="00563C84" w:rsidRPr="007133BD" w:rsidRDefault="001E5E71" w:rsidP="00375C20">
      <w:pPr>
        <w:overflowPunct/>
        <w:adjustRightInd/>
        <w:jc w:val="right"/>
        <w:textAlignment w:val="auto"/>
      </w:pPr>
      <w:r>
        <w:rPr>
          <w:b/>
        </w:rPr>
        <w:t>Economische en sociale kansen van de digitalisering</w:t>
      </w:r>
    </w:p>
    <w:p w14:paraId="5B771636" w14:textId="77777777" w:rsidR="009B30AA" w:rsidRPr="007133BD" w:rsidRDefault="009B30AA" w:rsidP="00375C20">
      <w:pPr>
        <w:overflowPunct/>
        <w:adjustRightInd/>
        <w:textAlignment w:val="auto"/>
      </w:pPr>
    </w:p>
    <w:p w14:paraId="029BEDA9" w14:textId="77777777" w:rsidR="009B30AA" w:rsidRPr="007133BD" w:rsidRDefault="009B30AA" w:rsidP="00375C20">
      <w:pPr>
        <w:overflowPunct/>
        <w:adjustRightInd/>
        <w:textAlignment w:val="auto"/>
      </w:pPr>
    </w:p>
    <w:p w14:paraId="32F93048" w14:textId="1E01A2D5" w:rsidR="00646AC2" w:rsidRPr="007133BD" w:rsidRDefault="008C3049" w:rsidP="00375C20">
      <w:pPr>
        <w:overflowPunct/>
        <w:adjustRightInd/>
        <w:jc w:val="center"/>
        <w:textAlignment w:val="auto"/>
      </w:pPr>
      <w:r>
        <w:rPr>
          <w:b/>
          <w:sz w:val="28"/>
        </w:rPr>
        <w:t>ADVIES</w:t>
      </w:r>
      <w:r>
        <w:rPr>
          <w:b/>
          <w:sz w:val="28"/>
        </w:rPr>
        <w:br/>
      </w:r>
      <w:r>
        <w:rPr>
          <w:b/>
        </w:rPr>
        <w:br/>
      </w:r>
      <w:r>
        <w:t>Europees Economisch en Sociaal Comité</w:t>
      </w:r>
      <w:r>
        <w:br/>
      </w:r>
      <w:r>
        <w:rPr>
          <w:b/>
        </w:rPr>
        <w:br/>
        <w:t>Benutting van de economische en sociale kansen van de digitalisering en verbetering van de digitale transformatie van de economie, in het bijzonder van het midden- en kleinbedrijf, met de nadruk op mensgerichte artificiële intelligentie en data</w:t>
      </w:r>
      <w:r>
        <w:rPr>
          <w:b/>
        </w:rPr>
        <w:br/>
      </w:r>
      <w:r>
        <w:t>[verkennend advies]</w:t>
      </w:r>
    </w:p>
    <w:p w14:paraId="1CBE035E" w14:textId="77777777" w:rsidR="009B30AA" w:rsidRPr="007133BD" w:rsidRDefault="009B30AA" w:rsidP="00375C20">
      <w:pPr>
        <w:overflowPunct/>
        <w:adjustRightInd/>
        <w:jc w:val="center"/>
        <w:textAlignment w:val="auto"/>
      </w:pPr>
    </w:p>
    <w:p w14:paraId="16233E92" w14:textId="77777777" w:rsidR="00704FBB" w:rsidRPr="007133BD" w:rsidRDefault="007F5E0D" w:rsidP="00375C20">
      <w:pPr>
        <w:overflowPunct/>
        <w:adjustRightInd/>
        <w:jc w:val="center"/>
        <w:textAlignment w:val="auto"/>
        <w:rPr>
          <w:b/>
        </w:rPr>
      </w:pPr>
      <w:r>
        <w:t xml:space="preserve">Rapporteur: </w:t>
      </w:r>
      <w:r>
        <w:rPr>
          <w:b/>
        </w:rPr>
        <w:t>Antje GERSTEIN</w:t>
      </w:r>
    </w:p>
    <w:p w14:paraId="6124308B" w14:textId="77777777" w:rsidR="000E3743" w:rsidRPr="007133BD" w:rsidRDefault="000E3743" w:rsidP="00375C20">
      <w:pPr>
        <w:overflowPunct/>
        <w:adjustRightInd/>
        <w:jc w:val="center"/>
        <w:textAlignment w:val="auto"/>
      </w:pPr>
    </w:p>
    <w:p w14:paraId="4467259A" w14:textId="77777777" w:rsidR="00704FBB" w:rsidRPr="007133BD" w:rsidRDefault="00704FBB" w:rsidP="00375C20">
      <w:pPr>
        <w:overflowPunct/>
        <w:adjustRightInd/>
        <w:jc w:val="left"/>
        <w:textAlignment w:val="auto"/>
      </w:pPr>
    </w:p>
    <w:p w14:paraId="441A6E5F" w14:textId="77777777" w:rsidR="00646AC2" w:rsidRPr="007133BD" w:rsidRDefault="00646AC2" w:rsidP="00375C20">
      <w:pPr>
        <w:overflowPunct/>
        <w:adjustRightInd/>
        <w:textAlignment w:val="auto"/>
      </w:pPr>
    </w:p>
    <w:p w14:paraId="4508FBCB" w14:textId="77777777" w:rsidR="00646AC2" w:rsidRPr="007133BD" w:rsidRDefault="00646AC2" w:rsidP="00375C20">
      <w:pPr>
        <w:overflowPunct/>
        <w:adjustRightInd/>
        <w:textAlignment w:val="auto"/>
        <w:sectPr w:rsidR="00646AC2" w:rsidRPr="007133BD" w:rsidSect="007133BD">
          <w:footerReference w:type="default" r:id="rId12"/>
          <w:pgSz w:w="11907" w:h="16839" w:code="9"/>
          <w:pgMar w:top="1417" w:right="1417" w:bottom="1417" w:left="1417" w:header="709" w:footer="709" w:gutter="0"/>
          <w:pgNumType w:start="1"/>
          <w:cols w:space="720"/>
          <w:docGrid w:linePitch="299"/>
        </w:sectPr>
      </w:pPr>
    </w:p>
    <w:p w14:paraId="52778517" w14:textId="77777777" w:rsidR="0012220C" w:rsidRPr="007133BD" w:rsidRDefault="0012220C" w:rsidP="00375C20">
      <w:pPr>
        <w:overflowPunct/>
        <w:adjustRightInd/>
        <w:textAlignment w:val="auto"/>
      </w:pPr>
    </w:p>
    <w:tbl>
      <w:tblPr>
        <w:tblW w:w="0" w:type="auto"/>
        <w:tblLook w:val="04A0" w:firstRow="1" w:lastRow="0" w:firstColumn="1" w:lastColumn="0" w:noHBand="0" w:noVBand="1"/>
      </w:tblPr>
      <w:tblGrid>
        <w:gridCol w:w="3055"/>
        <w:gridCol w:w="6018"/>
      </w:tblGrid>
      <w:tr w:rsidR="0011656A" w:rsidRPr="007133BD" w14:paraId="7111BB98" w14:textId="77777777" w:rsidTr="000E3743">
        <w:tc>
          <w:tcPr>
            <w:tcW w:w="3055" w:type="dxa"/>
          </w:tcPr>
          <w:p w14:paraId="4E3994A7" w14:textId="77777777" w:rsidR="0011656A" w:rsidRPr="007133BD" w:rsidRDefault="00955A4A" w:rsidP="00955A4A">
            <w:pPr>
              <w:overflowPunct/>
              <w:adjustRightInd/>
              <w:jc w:val="left"/>
              <w:textAlignment w:val="auto"/>
              <w:rPr>
                <w:szCs w:val="22"/>
              </w:rPr>
            </w:pPr>
            <w:r>
              <w:t>Raadpleging</w:t>
            </w:r>
          </w:p>
        </w:tc>
        <w:tc>
          <w:tcPr>
            <w:tcW w:w="6018" w:type="dxa"/>
          </w:tcPr>
          <w:p w14:paraId="1208A795" w14:textId="77777777" w:rsidR="0011656A" w:rsidRPr="007133BD" w:rsidRDefault="00AA76FE" w:rsidP="00AA76FE">
            <w:pPr>
              <w:overflowPunct/>
              <w:adjustRightInd/>
              <w:jc w:val="left"/>
              <w:textAlignment w:val="auto"/>
              <w:rPr>
                <w:szCs w:val="22"/>
              </w:rPr>
            </w:pPr>
            <w:r>
              <w:t>Sloveens voorzitterschap, 19/03/2021</w:t>
            </w:r>
          </w:p>
        </w:tc>
      </w:tr>
      <w:tr w:rsidR="0016503F" w:rsidRPr="007133BD" w14:paraId="649B28B3" w14:textId="77777777" w:rsidTr="000E3743">
        <w:trPr>
          <w:trHeight w:val="251"/>
        </w:trPr>
        <w:tc>
          <w:tcPr>
            <w:tcW w:w="3055" w:type="dxa"/>
          </w:tcPr>
          <w:p w14:paraId="5056A676" w14:textId="77777777" w:rsidR="0016503F" w:rsidRPr="007133BD" w:rsidRDefault="0016503F" w:rsidP="00375C20">
            <w:pPr>
              <w:overflowPunct/>
              <w:adjustRightInd/>
              <w:jc w:val="left"/>
              <w:textAlignment w:val="auto"/>
              <w:rPr>
                <w:szCs w:val="22"/>
              </w:rPr>
            </w:pPr>
            <w:r>
              <w:t>Rechtsgrondslag</w:t>
            </w:r>
          </w:p>
        </w:tc>
        <w:tc>
          <w:tcPr>
            <w:tcW w:w="6018" w:type="dxa"/>
          </w:tcPr>
          <w:p w14:paraId="273CDA9B" w14:textId="77777777" w:rsidR="0016503F" w:rsidRPr="007133BD" w:rsidRDefault="0016503F" w:rsidP="00375C20">
            <w:pPr>
              <w:overflowPunct/>
              <w:adjustRightInd/>
              <w:jc w:val="left"/>
              <w:textAlignment w:val="auto"/>
              <w:rPr>
                <w:szCs w:val="22"/>
              </w:rPr>
            </w:pPr>
            <w:r>
              <w:t>Artikel 304 van het Verdrag betreffende de werking van de Europese Unie</w:t>
            </w:r>
          </w:p>
        </w:tc>
      </w:tr>
      <w:tr w:rsidR="00BA1290" w:rsidRPr="007133BD" w14:paraId="252E2AA8" w14:textId="77777777" w:rsidTr="000E3743">
        <w:tc>
          <w:tcPr>
            <w:tcW w:w="3055" w:type="dxa"/>
          </w:tcPr>
          <w:p w14:paraId="2F75444E" w14:textId="77777777" w:rsidR="00BA1290" w:rsidRPr="007133BD" w:rsidRDefault="00BA1290" w:rsidP="00375C20">
            <w:pPr>
              <w:overflowPunct/>
              <w:adjustRightInd/>
              <w:jc w:val="left"/>
              <w:textAlignment w:val="auto"/>
            </w:pPr>
          </w:p>
        </w:tc>
        <w:tc>
          <w:tcPr>
            <w:tcW w:w="6018" w:type="dxa"/>
          </w:tcPr>
          <w:p w14:paraId="40CA1FAE" w14:textId="77777777" w:rsidR="00BA1290" w:rsidRPr="007133BD" w:rsidRDefault="00BA1290" w:rsidP="00375C20">
            <w:pPr>
              <w:overflowPunct/>
              <w:adjustRightInd/>
              <w:jc w:val="left"/>
              <w:textAlignment w:val="auto"/>
            </w:pPr>
          </w:p>
        </w:tc>
      </w:tr>
      <w:tr w:rsidR="00DF5B64" w:rsidRPr="007133BD" w14:paraId="6EDEC554" w14:textId="77777777" w:rsidTr="000E3743">
        <w:tc>
          <w:tcPr>
            <w:tcW w:w="3055" w:type="dxa"/>
          </w:tcPr>
          <w:p w14:paraId="77273DB4" w14:textId="77777777" w:rsidR="00DF5B64" w:rsidRPr="007133BD" w:rsidRDefault="00AD4B4F" w:rsidP="00375C20">
            <w:pPr>
              <w:overflowPunct/>
              <w:adjustRightInd/>
              <w:jc w:val="left"/>
              <w:textAlignment w:val="auto"/>
              <w:rPr>
                <w:szCs w:val="22"/>
              </w:rPr>
            </w:pPr>
            <w:r>
              <w:t>Bevoegde afdeling</w:t>
            </w:r>
          </w:p>
        </w:tc>
        <w:tc>
          <w:tcPr>
            <w:tcW w:w="6018" w:type="dxa"/>
          </w:tcPr>
          <w:p w14:paraId="377717F4" w14:textId="77777777" w:rsidR="00DF5B64" w:rsidRPr="007133BD" w:rsidRDefault="000E3743" w:rsidP="00375C20">
            <w:pPr>
              <w:overflowPunct/>
              <w:adjustRightInd/>
              <w:jc w:val="left"/>
              <w:textAlignment w:val="auto"/>
              <w:rPr>
                <w:szCs w:val="22"/>
              </w:rPr>
            </w:pPr>
            <w:r>
              <w:t>Interne Markt, Productie en Consumptie</w:t>
            </w:r>
          </w:p>
        </w:tc>
      </w:tr>
      <w:tr w:rsidR="00A156E6" w:rsidRPr="007133BD" w14:paraId="0C978EAD" w14:textId="77777777" w:rsidTr="000E3743">
        <w:tc>
          <w:tcPr>
            <w:tcW w:w="3055" w:type="dxa"/>
          </w:tcPr>
          <w:p w14:paraId="7345119C" w14:textId="77777777" w:rsidR="00A156E6" w:rsidRPr="007133BD" w:rsidRDefault="00A156E6" w:rsidP="00375C20">
            <w:pPr>
              <w:overflowPunct/>
              <w:adjustRightInd/>
              <w:jc w:val="left"/>
              <w:textAlignment w:val="auto"/>
              <w:rPr>
                <w:szCs w:val="22"/>
              </w:rPr>
            </w:pPr>
            <w:r>
              <w:t>Goedkeuring door de afdeling</w:t>
            </w:r>
          </w:p>
        </w:tc>
        <w:tc>
          <w:tcPr>
            <w:tcW w:w="6018" w:type="dxa"/>
          </w:tcPr>
          <w:p w14:paraId="3BC195AB" w14:textId="0E634FA2" w:rsidR="00A156E6" w:rsidRPr="007133BD" w:rsidRDefault="00166791">
            <w:pPr>
              <w:overflowPunct/>
              <w:adjustRightInd/>
              <w:jc w:val="left"/>
              <w:textAlignment w:val="auto"/>
              <w:rPr>
                <w:szCs w:val="22"/>
              </w:rPr>
            </w:pPr>
            <w:r>
              <w:t>15/06/2021</w:t>
            </w:r>
          </w:p>
        </w:tc>
      </w:tr>
      <w:tr w:rsidR="00A156E6" w:rsidRPr="007133BD" w14:paraId="2A121127" w14:textId="77777777" w:rsidTr="000E3743">
        <w:tc>
          <w:tcPr>
            <w:tcW w:w="3055" w:type="dxa"/>
          </w:tcPr>
          <w:p w14:paraId="2D493640" w14:textId="77777777" w:rsidR="00A156E6" w:rsidRPr="007133BD" w:rsidRDefault="00A156E6" w:rsidP="00375C20">
            <w:pPr>
              <w:overflowPunct/>
              <w:adjustRightInd/>
              <w:jc w:val="left"/>
              <w:textAlignment w:val="auto"/>
              <w:rPr>
                <w:szCs w:val="22"/>
              </w:rPr>
            </w:pPr>
            <w:r>
              <w:t>Goedkeuring door de voltallige vergadering</w:t>
            </w:r>
          </w:p>
        </w:tc>
        <w:tc>
          <w:tcPr>
            <w:tcW w:w="6018" w:type="dxa"/>
          </w:tcPr>
          <w:p w14:paraId="6CB2FFF3" w14:textId="0B465A18" w:rsidR="00A156E6" w:rsidRPr="007133BD" w:rsidRDefault="001F44DA">
            <w:pPr>
              <w:overflowPunct/>
              <w:adjustRightInd/>
              <w:jc w:val="left"/>
              <w:textAlignment w:val="auto"/>
              <w:rPr>
                <w:szCs w:val="22"/>
              </w:rPr>
            </w:pPr>
            <w:r>
              <w:t>07/07/2021</w:t>
            </w:r>
          </w:p>
        </w:tc>
      </w:tr>
      <w:tr w:rsidR="00BA1290" w:rsidRPr="007133BD" w14:paraId="450BF0F0" w14:textId="77777777" w:rsidTr="000E3743">
        <w:tc>
          <w:tcPr>
            <w:tcW w:w="3055" w:type="dxa"/>
          </w:tcPr>
          <w:p w14:paraId="1228D306" w14:textId="77777777" w:rsidR="00BA1290" w:rsidRPr="007133BD" w:rsidRDefault="00BA1290" w:rsidP="00375C20">
            <w:pPr>
              <w:overflowPunct/>
              <w:adjustRightInd/>
              <w:jc w:val="left"/>
              <w:textAlignment w:val="auto"/>
              <w:rPr>
                <w:szCs w:val="22"/>
              </w:rPr>
            </w:pPr>
            <w:r>
              <w:t>Zitting nr.</w:t>
            </w:r>
          </w:p>
        </w:tc>
        <w:tc>
          <w:tcPr>
            <w:tcW w:w="6018" w:type="dxa"/>
          </w:tcPr>
          <w:p w14:paraId="43343617" w14:textId="24FAFFB2" w:rsidR="00BA1290" w:rsidRPr="007133BD" w:rsidRDefault="001F44DA" w:rsidP="00375C20">
            <w:pPr>
              <w:overflowPunct/>
              <w:adjustRightInd/>
              <w:jc w:val="left"/>
              <w:textAlignment w:val="auto"/>
              <w:rPr>
                <w:szCs w:val="22"/>
              </w:rPr>
            </w:pPr>
            <w:r>
              <w:t>562</w:t>
            </w:r>
          </w:p>
        </w:tc>
      </w:tr>
      <w:tr w:rsidR="00A156E6" w:rsidRPr="007133BD" w14:paraId="066A10E8" w14:textId="77777777" w:rsidTr="000E3743">
        <w:tc>
          <w:tcPr>
            <w:tcW w:w="3055" w:type="dxa"/>
          </w:tcPr>
          <w:p w14:paraId="76270632" w14:textId="77777777" w:rsidR="00D423D4" w:rsidRPr="007133BD" w:rsidRDefault="0043024C" w:rsidP="00375C20">
            <w:pPr>
              <w:overflowPunct/>
              <w:adjustRightInd/>
              <w:jc w:val="left"/>
            </w:pPr>
            <w:r>
              <w:t>Stemuitslag</w:t>
            </w:r>
            <w:r>
              <w:br/>
              <w:t>(voor/tegen/onthoudingen)</w:t>
            </w:r>
          </w:p>
        </w:tc>
        <w:tc>
          <w:tcPr>
            <w:tcW w:w="6018" w:type="dxa"/>
            <w:vAlign w:val="bottom"/>
          </w:tcPr>
          <w:p w14:paraId="5225924A" w14:textId="04E9B9AF" w:rsidR="00A156E6" w:rsidRPr="007133BD" w:rsidRDefault="00EA2C5B">
            <w:pPr>
              <w:overflowPunct/>
              <w:adjustRightInd/>
              <w:jc w:val="left"/>
              <w:textAlignment w:val="auto"/>
              <w:rPr>
                <w:szCs w:val="22"/>
              </w:rPr>
            </w:pPr>
            <w:r>
              <w:t>21</w:t>
            </w:r>
            <w:r>
              <w:rPr>
                <w:lang w:val="en-US"/>
              </w:rPr>
              <w:t>7</w:t>
            </w:r>
            <w:r>
              <w:t>/0/1</w:t>
            </w:r>
            <w:bookmarkStart w:id="0" w:name="_GoBack"/>
            <w:bookmarkEnd w:id="0"/>
          </w:p>
        </w:tc>
      </w:tr>
    </w:tbl>
    <w:p w14:paraId="2E17369A" w14:textId="77777777" w:rsidR="0090053A" w:rsidRPr="007133BD" w:rsidRDefault="0090053A" w:rsidP="00375C20">
      <w:pPr>
        <w:overflowPunct/>
        <w:adjustRightInd/>
        <w:textAlignment w:val="auto"/>
      </w:pPr>
    </w:p>
    <w:p w14:paraId="4B966CC3" w14:textId="77777777" w:rsidR="00646AC2" w:rsidRPr="007133BD" w:rsidRDefault="00646AC2" w:rsidP="00375C20">
      <w:pPr>
        <w:overflowPunct/>
        <w:adjustRightInd/>
        <w:textAlignment w:val="auto"/>
      </w:pPr>
      <w:r>
        <w:br w:type="page"/>
      </w:r>
    </w:p>
    <w:p w14:paraId="365373F5" w14:textId="6B920A28" w:rsidR="00194B36" w:rsidRPr="007133BD" w:rsidRDefault="00194B36" w:rsidP="007038F2">
      <w:pPr>
        <w:pStyle w:val="Heading1"/>
        <w:keepNext/>
        <w:ind w:left="567" w:hanging="567"/>
        <w:rPr>
          <w:b/>
        </w:rPr>
      </w:pPr>
      <w:r>
        <w:rPr>
          <w:b/>
        </w:rPr>
        <w:lastRenderedPageBreak/>
        <w:t>Conclusies en aanbevelingen</w:t>
      </w:r>
    </w:p>
    <w:p w14:paraId="3A944A95" w14:textId="121CD115" w:rsidR="00194B36" w:rsidRPr="007133BD" w:rsidRDefault="00194B36" w:rsidP="00375C20"/>
    <w:p w14:paraId="65FE0207" w14:textId="4A835B5B" w:rsidR="00B212EB" w:rsidRPr="007133BD" w:rsidRDefault="00B212EB" w:rsidP="007038F2">
      <w:pPr>
        <w:pStyle w:val="Heading2"/>
        <w:ind w:left="567" w:hanging="567"/>
      </w:pPr>
      <w:r>
        <w:t>Uit de huidige pandemie hebben we geleerd dat telewerken, thuiswerken en flexibele werkregelingen — tenminste tot op zekere hoogte — het “nieuwe normaal” blijven. Tegelijkertijd moeten we beseffen dat onze arbeidswereld steeds meer bepaald zal worden door digitale bedrijfsmodellen. Bij het opzetten van deze modellen moeten mensen en waarden centraal staan. In bredere maatschappelijke zin komt het erop aan te garanderen dat ook specifiek kwetsbare groepen aan de digitale samenleving kunnen meedoen.</w:t>
      </w:r>
    </w:p>
    <w:p w14:paraId="5CA0C6D2" w14:textId="5A590A1E" w:rsidR="00B212EB" w:rsidRPr="007133BD" w:rsidRDefault="00B212EB" w:rsidP="00B212EB"/>
    <w:p w14:paraId="1EF83EEE" w14:textId="12F2A6E3" w:rsidR="00B212EB" w:rsidRPr="007133BD" w:rsidRDefault="00B212EB" w:rsidP="00797CE7">
      <w:pPr>
        <w:pStyle w:val="Heading2"/>
        <w:ind w:left="567" w:hanging="567"/>
      </w:pPr>
      <w:r>
        <w:t xml:space="preserve">Naar verwachting zal een voltooide digitale eengemaakte markt in de EU voor 415 miljard euro per jaar bijdragen aan de economische output van de EU. De digitale transformatie biedt bedrijven in de hele EU aanzienlijke kansen. Daarbij komt wel dat tal van bedrijven te maken hebben met zeer grote rechtsonzekerheid bij hun grensoverschrijdende activiteiten en dat ze bovendien de boot dreigen te missen door een gebrek aan toegang of investeringsmiddelen, alsook door tekortschietende vaardigheden. Dit geldt in het algemeen voor veel kleine en middelgrote ondernemingen en vooral voor micro-bedrijven. </w:t>
      </w:r>
    </w:p>
    <w:p w14:paraId="349305BB" w14:textId="77777777" w:rsidR="00B212EB" w:rsidRPr="007133BD" w:rsidRDefault="00B212EB" w:rsidP="00B212EB"/>
    <w:p w14:paraId="074FA58A" w14:textId="5B2B35FE" w:rsidR="00FF7E69" w:rsidRPr="007133BD" w:rsidRDefault="00835CCF" w:rsidP="00797CE7">
      <w:pPr>
        <w:pStyle w:val="Heading2"/>
        <w:ind w:left="567" w:hanging="567"/>
      </w:pPr>
      <w:r>
        <w:t>Een van de sleutels tot het succes van een Europese digitale eengemaakte markt is gelegen in openheid voor technologie bij de regulering van nieuwe digitale bedrijfsmodellen en toepassingen, zoals artificiële intelligentie (AI), en toegang tot financiering voor innovatie, zodat het midden- en kleinbedrijf van de voordelen van dergelijke nieuwe digitale toepassingen kan profiteren. Het EESC heeft over AI in het midden- en kleinbedrijf een studie verricht die waardevolle inzichten kan opleveren.</w:t>
      </w:r>
      <w:r w:rsidR="0050649F" w:rsidRPr="007133BD">
        <w:rPr>
          <w:rStyle w:val="FootnoteReference"/>
        </w:rPr>
        <w:footnoteReference w:id="1"/>
      </w:r>
    </w:p>
    <w:p w14:paraId="158E4101" w14:textId="77777777" w:rsidR="00B212EB" w:rsidRPr="007133BD" w:rsidRDefault="00B212EB" w:rsidP="00B212EB"/>
    <w:p w14:paraId="0D607ABD" w14:textId="6FB96DAF" w:rsidR="00B212EB" w:rsidRPr="007133BD" w:rsidRDefault="00B212EB" w:rsidP="00347A5F">
      <w:pPr>
        <w:pStyle w:val="Heading2"/>
        <w:ind w:left="567" w:hanging="567"/>
        <w:rPr>
          <w:rFonts w:eastAsia="Arial Unicode MS"/>
        </w:rPr>
      </w:pPr>
      <w:r>
        <w:t>Het EESC is al sinds zijn eerste AI-advies uit 2017 prominent aanwezig in het debat over AI en heeft de voorbije jaren een aantal adviezen over dit thema uitgebracht. Momenteel werkt het aan zijn advies over het voorstel van de Europese Commissie voor een wet inzake artificiële intelligentie (het “AIA-voorstel”, waarbij AIA staat voor Artificial Intelligence Act). In dit advies, dat in september aan de voltallige vergadering van het EESC zal worden voorgelegd, zal nadrukkelijk worden ingegaan op de definitie van AI, die een belangrijke plaats inneemt in het AIA-voorstel.</w:t>
      </w:r>
    </w:p>
    <w:p w14:paraId="4951610D" w14:textId="77777777" w:rsidR="00B212EB" w:rsidRPr="007133BD" w:rsidRDefault="00B212EB" w:rsidP="00B212EB"/>
    <w:p w14:paraId="520518FF" w14:textId="77777777" w:rsidR="00FF7E69" w:rsidRPr="007133BD" w:rsidRDefault="00FF7E69" w:rsidP="00797CE7">
      <w:pPr>
        <w:pStyle w:val="Heading1"/>
        <w:keepNext/>
        <w:keepLines/>
        <w:ind w:left="567" w:hanging="567"/>
        <w:rPr>
          <w:b/>
        </w:rPr>
      </w:pPr>
      <w:r>
        <w:rPr>
          <w:b/>
        </w:rPr>
        <w:t>Achtergrond</w:t>
      </w:r>
    </w:p>
    <w:p w14:paraId="289CD058" w14:textId="77777777" w:rsidR="00FF7E69" w:rsidRPr="007133BD" w:rsidRDefault="00FF7E69" w:rsidP="00797CE7">
      <w:pPr>
        <w:keepNext/>
        <w:keepLines/>
      </w:pPr>
    </w:p>
    <w:p w14:paraId="22F1946A" w14:textId="543EE828" w:rsidR="00941EB6" w:rsidRPr="007133BD" w:rsidRDefault="00941EB6" w:rsidP="00797CE7">
      <w:pPr>
        <w:pStyle w:val="Heading2"/>
        <w:ind w:left="567" w:hanging="567"/>
      </w:pPr>
      <w:r>
        <w:t>Het komende Sloveense voorzitterschap van de Raad van de EU heeft in het kader van zijn voorgenomen prioriteiten een aantal voorstellen geformuleerd. Het EESC is op 18 maart 2021 per brief verzocht om hierover met verkennende adviezen te komen. Het gaat hierbij om EU-beleidskwesties die voor het voorzitters</w:t>
      </w:r>
      <w:r w:rsidR="00487966">
        <w:t>chap van bijzonder belang zijn.</w:t>
      </w:r>
    </w:p>
    <w:p w14:paraId="28D7752F" w14:textId="77777777" w:rsidR="00941EB6" w:rsidRPr="007133BD" w:rsidRDefault="00941EB6" w:rsidP="00BE57CF">
      <w:pPr>
        <w:pStyle w:val="Heading2"/>
        <w:numPr>
          <w:ilvl w:val="0"/>
          <w:numId w:val="0"/>
        </w:numPr>
        <w:ind w:left="720"/>
      </w:pPr>
    </w:p>
    <w:p w14:paraId="6CB75B45" w14:textId="1729F5C8" w:rsidR="00FF7E69" w:rsidRPr="007133BD" w:rsidRDefault="00FF7E69" w:rsidP="00797CE7">
      <w:pPr>
        <w:pStyle w:val="Heading2"/>
        <w:ind w:left="567" w:hanging="567"/>
      </w:pPr>
      <w:r>
        <w:t>Met onderhavig advies reageert het EESC op het verzoek van het Sloveense voorzitterschap van de Raad van de EU om een verkennend advies op te stellen over de economische en social</w:t>
      </w:r>
      <w:r w:rsidR="00487966">
        <w:t>e kansen van de digitalisering.</w:t>
      </w:r>
    </w:p>
    <w:p w14:paraId="5135660B" w14:textId="77777777" w:rsidR="00FF7E69" w:rsidRPr="007133BD" w:rsidRDefault="00FF7E69" w:rsidP="00FF7E69"/>
    <w:p w14:paraId="08989721" w14:textId="47247DEE" w:rsidR="00FF7E69" w:rsidRPr="007133BD" w:rsidRDefault="00FF7E69" w:rsidP="00797CE7">
      <w:pPr>
        <w:pStyle w:val="Heading2"/>
        <w:ind w:left="567" w:hanging="567"/>
      </w:pPr>
      <w:r>
        <w:lastRenderedPageBreak/>
        <w:t>In dit verkennend advies wordt een overzicht gegeven van diverse onderwerpen in verband met digitalisering waaraan in recente of lopende EESC-adviezen aandacht wordt besteed. Er wordt in gereageerd op vier vragen die het voorzitterschap heeft gesteld over de datagovernanceverordening, de wet inzake digitale diensten en de wet inzake artificiële intelligentie. Alle andere relevante informatie over deze onderwerpen is te vinden in de desbetreffende EESC-adviezen</w:t>
      </w:r>
      <w:r w:rsidR="002B7865" w:rsidRPr="007133BD">
        <w:rPr>
          <w:rStyle w:val="FootnoteReference"/>
        </w:rPr>
        <w:footnoteReference w:id="2"/>
      </w:r>
      <w:r>
        <w:t>.</w:t>
      </w:r>
    </w:p>
    <w:p w14:paraId="60EA8C60" w14:textId="77777777" w:rsidR="00FF7E69" w:rsidRPr="007133BD" w:rsidRDefault="00FF7E69" w:rsidP="00FF7E69"/>
    <w:p w14:paraId="21183257" w14:textId="77777777" w:rsidR="00194B36" w:rsidRPr="007133BD" w:rsidRDefault="00194B36" w:rsidP="00797CE7">
      <w:pPr>
        <w:pStyle w:val="Heading1"/>
        <w:keepNext/>
        <w:keepLines/>
        <w:ind w:left="567" w:hanging="567"/>
        <w:rPr>
          <w:b/>
        </w:rPr>
      </w:pPr>
      <w:r>
        <w:rPr>
          <w:b/>
        </w:rPr>
        <w:t>Algemene opmerkingen</w:t>
      </w:r>
    </w:p>
    <w:p w14:paraId="385009EC" w14:textId="77777777" w:rsidR="00F75AFB" w:rsidRPr="007133BD" w:rsidRDefault="00F75AFB" w:rsidP="00797CE7">
      <w:pPr>
        <w:keepNext/>
        <w:keepLines/>
      </w:pPr>
    </w:p>
    <w:p w14:paraId="71998629" w14:textId="6B90FC7D" w:rsidR="00DC51C0" w:rsidRPr="007133BD" w:rsidRDefault="00F75AFB" w:rsidP="00797CE7">
      <w:pPr>
        <w:pStyle w:val="Heading2"/>
        <w:ind w:left="567" w:hanging="567"/>
      </w:pPr>
      <w:r>
        <w:t>De COVID-19-crisis heeft zowel de digitale achterstand van de EU als het enorme potentieel ervan aan het licht gebracht. We moeten nu meer dan ooit beseffen dat de EU een krachtige digitale eengemaakte markt nodig heeft. Dit houdt in dat de EU sterker moet worden op gebieden als cloudcomputing, 5G en veilig datagebruik. Om de wereldspelers VS en China bij te kunnen houden moet worden geïnvesteerd in een sterk digitaal Europa.</w:t>
      </w:r>
    </w:p>
    <w:p w14:paraId="29BCD486" w14:textId="77777777" w:rsidR="00F75AFB" w:rsidRPr="007133BD" w:rsidRDefault="00F75AFB" w:rsidP="00DC51C0"/>
    <w:p w14:paraId="2ED65C2B" w14:textId="6860CA7B" w:rsidR="00FD5FA9" w:rsidRDefault="00FD5FA9" w:rsidP="009E0EB8">
      <w:pPr>
        <w:pStyle w:val="Heading2"/>
        <w:ind w:left="567" w:hanging="567"/>
      </w:pPr>
      <w:r>
        <w:t xml:space="preserve">Naar verwachting zal een voltooide digitale eengemaakte markt in de EU voor 415 miljard euro per jaar bijdragen aan de economische output van de EU. Preventief onderhoud via voorspellende systemen, digitale platforms en kwantumcomputing zijn slechts drie voorbeelden van hoe digitale technologieën een belangrijke impact zullen hebben op de digitalisering van de Europese economie. De digitale transformatie biedt bedrijven in de hele EU aanzienlijke kansen. Daarbij komt wel dat tal van bedrijven te maken hebben met zeer grote rechtsonzekerheid bij hun grensoverschrijdende activiteiten en dat ze bovendien de boot dreigen te missen door een gebrek aan toegang of investeringsmiddelen, alsook door tekortschietende vaardigheden. Dit geldt in het algemeen voor veel kleine en middelgrote ondernemingen </w:t>
      </w:r>
      <w:r w:rsidR="00487966">
        <w:t>en vooral voor micro-bedrijven.</w:t>
      </w:r>
    </w:p>
    <w:p w14:paraId="6444AF2B" w14:textId="77777777" w:rsidR="00487966" w:rsidRPr="00487966" w:rsidRDefault="00487966" w:rsidP="00487966"/>
    <w:p w14:paraId="709AAAB8" w14:textId="4A7416CE" w:rsidR="00DC51C0" w:rsidRPr="007133BD" w:rsidRDefault="00075C63" w:rsidP="00797CE7">
      <w:pPr>
        <w:pStyle w:val="Heading2"/>
        <w:ind w:left="567" w:hanging="567"/>
      </w:pPr>
      <w:r>
        <w:t>Uit de huidige pandemie hebben we geleerd dat telewerken, thuiswerken en flexibele werkregelingen — tenminste tot op zekere hoogte — het “nieuwe normaal” blijven. Tegelijkertijd moeten we beseffen dat onze arbeidswereld steeds meer bepaald zal worden door digitale bedrijfsmodellen. Bij het opzetten van deze modellen moeten me</w:t>
      </w:r>
      <w:r w:rsidR="00487966">
        <w:t>nsen en waarden centraal staan.</w:t>
      </w:r>
    </w:p>
    <w:p w14:paraId="6D08651B" w14:textId="77777777" w:rsidR="00F75AFB" w:rsidRPr="007133BD" w:rsidRDefault="00F75AFB" w:rsidP="00DC51C0"/>
    <w:p w14:paraId="761BBE82" w14:textId="103E41BE" w:rsidR="00DC51C0" w:rsidRPr="007133BD" w:rsidRDefault="00FD5FA9" w:rsidP="00797CE7">
      <w:pPr>
        <w:pStyle w:val="Heading2"/>
        <w:ind w:left="567" w:hanging="567"/>
      </w:pPr>
      <w:r>
        <w:t>In een postpandemische economie moeten we zien te voorkomen dat kleine en middelgrote ondernemingen in bepaalde, zwaar getroffen sectoren (dienstensectoren, zoals de detailhandel en het toerisme) achteropraken omdat de investeringsbehoeften te groot zijn (en het spaargeld na ruim een jaar pandemie op is). Deze bedrijven hebben voor de digitale transformatie en de verdere ontwikkeling van bedrijfsmodellen specifieke steun nodig, wat tot uiting moet komen in de nationale herstelprogramma’s die aan het EU-herstelfonds zijn gekoppeld. De Europese Commissie moet een coördinerende rol spelen om versnippering tussen verschillende Europese fondsen te voorkomen en ervoor te zorgen dat activiteiten en projecten op dit specifieke gebied (digitale transformatie voor kleine en middelgrote ondernemingen) worden gestroomlijnd.</w:t>
      </w:r>
    </w:p>
    <w:p w14:paraId="21686B41" w14:textId="77777777" w:rsidR="00DC51C0" w:rsidRPr="007133BD" w:rsidRDefault="00DC51C0" w:rsidP="00DC51C0"/>
    <w:p w14:paraId="3DE750FD" w14:textId="0CFABA94" w:rsidR="00DC51C0" w:rsidRPr="007133BD" w:rsidRDefault="00DC51C0" w:rsidP="00797CE7">
      <w:pPr>
        <w:pStyle w:val="Heading2"/>
        <w:ind w:left="567" w:hanging="567"/>
      </w:pPr>
      <w:r>
        <w:t xml:space="preserve">Er moet een adequaat politiek kader zijn om te waarborgen dat kleine en middelgrote ondernemingen kunnen profiteren van de kansen die de digitalisering biedt. Regelgeving moet </w:t>
      </w:r>
      <w:r>
        <w:lastRenderedPageBreak/>
        <w:t>alleen worden overwogen indien een ongewenste ontwikkeling duidelijk kan worden verwacht. Innovatie en nieuwe bedrijfsmodellen hebben een zekere ruimte nodig om zich te ontwikkelen. Overhaaste of strenge Europese regelgeving benadeelt Europese ondernemingen, met name het midden- en kleinbedrijf, ten opzichte van internationale ondernemingen die in de rest van de wereld actief zijn.</w:t>
      </w:r>
    </w:p>
    <w:p w14:paraId="6E1AD279" w14:textId="77777777" w:rsidR="00DC51C0" w:rsidRPr="007133BD" w:rsidRDefault="00DC51C0" w:rsidP="00DC51C0"/>
    <w:p w14:paraId="160960A0" w14:textId="1A5C4D26" w:rsidR="00FD5FA9" w:rsidRPr="007133BD" w:rsidRDefault="009E7FE1" w:rsidP="00797CE7">
      <w:pPr>
        <w:pStyle w:val="Heading2"/>
        <w:keepNext/>
        <w:keepLines/>
        <w:ind w:left="567" w:hanging="567"/>
      </w:pPr>
      <w:r>
        <w:t xml:space="preserve">In bepaalde sectoren, met name de dienstensector (detailhandel, toerisme, horeca), is er echter dringend behoefte aan een regelgevingskader dat desinformatie in de digitale ruimte helpt bestrijden en het mogelijk maakt om op te treden tegen bijvoorbeeld </w:t>
      </w:r>
      <w:r>
        <w:rPr>
          <w:b/>
          <w:bCs/>
        </w:rPr>
        <w:t>nepbeoordelingen</w:t>
      </w:r>
      <w:r>
        <w:t>, die voor bedrijven zeer schadelijk kunnen zijn. Het EESC is in zijn zeer recente advies over de wet inzake digitale diensten</w:t>
      </w:r>
      <w:r w:rsidR="00FD64E2" w:rsidRPr="007133BD">
        <w:rPr>
          <w:rStyle w:val="FootnoteReference"/>
        </w:rPr>
        <w:footnoteReference w:id="3"/>
      </w:r>
      <w:r>
        <w:t xml:space="preserve"> nader ingegaan op deze kwesties, die vooral op digitale platforms spelen.</w:t>
      </w:r>
    </w:p>
    <w:p w14:paraId="00CC8690" w14:textId="77777777" w:rsidR="00FD5FA9" w:rsidRPr="007133BD" w:rsidRDefault="00FD5FA9" w:rsidP="00DC51C0"/>
    <w:p w14:paraId="4152EAC6" w14:textId="0D2260C8" w:rsidR="00A24579" w:rsidRPr="007133BD" w:rsidRDefault="00A24579" w:rsidP="00797CE7">
      <w:pPr>
        <w:pStyle w:val="Heading2"/>
        <w:ind w:left="567" w:hanging="567"/>
      </w:pPr>
      <w:r>
        <w:t>De voortschrijdende technische ontwikkeling en de digitale transformatie van de economie brengen ook bepaalde risico’s met zich mee die in het oog moeten worden gehouden om het potentieel ervan ten volle te benutten. In dit verband moet gegarandeerd worden dat de technologische vooruitgang en de digitalisering ook gepaard gaan met mechanismen om de digitale uitsluiting van specifiek kwetsbare groepen tegen te gaan.</w:t>
      </w:r>
    </w:p>
    <w:p w14:paraId="25058B12" w14:textId="77777777" w:rsidR="00A24579" w:rsidRPr="007133BD" w:rsidRDefault="00A24579" w:rsidP="007133BD">
      <w:pPr>
        <w:pStyle w:val="Heading3"/>
        <w:numPr>
          <w:ilvl w:val="0"/>
          <w:numId w:val="0"/>
        </w:numPr>
      </w:pPr>
    </w:p>
    <w:p w14:paraId="60B4E803" w14:textId="0B93542F" w:rsidR="00A24579" w:rsidRPr="007133BD" w:rsidRDefault="00A24579" w:rsidP="00797CE7">
      <w:pPr>
        <w:pStyle w:val="Heading2"/>
        <w:ind w:left="567" w:hanging="567"/>
      </w:pPr>
      <w:r>
        <w:t>Het EESC is al sinds zijn eerste AI-advies uit 2017</w:t>
      </w:r>
      <w:r w:rsidR="00475721" w:rsidRPr="007133BD">
        <w:rPr>
          <w:rStyle w:val="FootnoteReference"/>
        </w:rPr>
        <w:footnoteReference w:id="4"/>
      </w:r>
      <w:r>
        <w:t xml:space="preserve"> prominent aanwezig in het debat over AI en heeft de voorbije jaren een aantal adviezen over dit thema uitgebracht</w:t>
      </w:r>
      <w:r w:rsidR="00475721" w:rsidRPr="007133BD">
        <w:rPr>
          <w:rStyle w:val="FootnoteReference"/>
        </w:rPr>
        <w:footnoteReference w:id="5"/>
      </w:r>
      <w:r>
        <w:t>. Het EESC pleit steevast voor een “human-in-command”-benadering van AI, waarbij de mens in technisch opzicht toezicht op AI houdt en in staat blijft om te beslissen of, wanneer en hoe AI in onze bredere samenleving wordt gebruikt. Het EESC heeft de in 2018 gepubliceerde Europese AI-strategie verwelkomd, net als de mededeling van de Commissie over de ethische richtsnoeren voor betrouwbare AI. Ook is het ermee ingenomen dat de Commissie de zeven vereisten voor betrouwbare AI heeft onderschreven. Verder heeft het EESC gewezen op onder meer het effect van AI op de werkgelegenheid, het belang van het vinden van het juiste evenwicht tussen regelgeving, zelfregulering en ethische richtsnoeren, en d</w:t>
      </w:r>
      <w:r w:rsidR="00487966">
        <w:t>e impact van AI op consumenten.</w:t>
      </w:r>
    </w:p>
    <w:p w14:paraId="173596F4" w14:textId="77777777" w:rsidR="00A24579" w:rsidRPr="007133BD" w:rsidRDefault="00A24579" w:rsidP="007133BD">
      <w:pPr>
        <w:pStyle w:val="Heading3"/>
        <w:numPr>
          <w:ilvl w:val="0"/>
          <w:numId w:val="0"/>
        </w:numPr>
      </w:pPr>
    </w:p>
    <w:p w14:paraId="7DECDCA3" w14:textId="7E2F1056" w:rsidR="00A24579" w:rsidRPr="007133BD" w:rsidRDefault="00A24579" w:rsidP="00797CE7">
      <w:pPr>
        <w:pStyle w:val="Heading2"/>
        <w:ind w:left="567" w:hanging="567"/>
      </w:pPr>
      <w:r>
        <w:t>Het EESC werkt momenteel aan zijn advies over het voorstel van de Europese Commissie voor een wet inzake artificiële intelligentie (“AIA-voorstel”)</w:t>
      </w:r>
      <w:r w:rsidR="00475721" w:rsidRPr="007133BD">
        <w:rPr>
          <w:rStyle w:val="FootnoteReference"/>
        </w:rPr>
        <w:footnoteReference w:id="6"/>
      </w:r>
      <w:r>
        <w:t>; dit advies zal in september aan de voltallige vergadering van het EESC worden voorgelegd. Het EESC heeft zijn officiële standpunt over het AIA-voorstel nog niet vastgesteld, maar kan wel een aantal overwegingen naar voren brengen ten aanzien van de specifieke vraag van het Sloveense voorzitterschap over de definitie van AI in het AIA-voorstel.</w:t>
      </w:r>
    </w:p>
    <w:p w14:paraId="02D95CCB" w14:textId="77777777" w:rsidR="00A24579" w:rsidRPr="007133BD" w:rsidRDefault="00A24579" w:rsidP="00A24579"/>
    <w:p w14:paraId="67C989B9" w14:textId="4EAF5947" w:rsidR="00F12A16" w:rsidRPr="007133BD" w:rsidRDefault="008A74C6" w:rsidP="00797CE7">
      <w:pPr>
        <w:pStyle w:val="Heading2"/>
        <w:ind w:left="567" w:hanging="567"/>
      </w:pPr>
      <w:r>
        <w:t xml:space="preserve">Wat de werkvloer betreft, is het zaak om als basisbeginsel in het tijdperk van digitalisering fatsoenlijk werk voor alle werknemers te waarborgen. In bedrijven moeten werknemers en hun </w:t>
      </w:r>
      <w:r>
        <w:lastRenderedPageBreak/>
        <w:t>vertegenwoordigers in een vroeg stadium worden betrokken bij de uitrol van AI die rechtstreeks van invloed is op werknemers, en moeten zij meebepalen hoe de AI in kwestie moet worden gebruikt. Werknemers moeten tijdig en met oog voor de toekomst worden opgeleid voor de nieuwe banen in de digitale arbeidswereld.</w:t>
      </w:r>
    </w:p>
    <w:p w14:paraId="39B55DF8" w14:textId="77777777" w:rsidR="001963FB" w:rsidRPr="007133BD" w:rsidRDefault="001963FB" w:rsidP="00FF7E69"/>
    <w:p w14:paraId="7DE2C2D0" w14:textId="77777777" w:rsidR="00FF7E69" w:rsidRPr="007133BD" w:rsidRDefault="00FF7E69" w:rsidP="00797CE7">
      <w:pPr>
        <w:pStyle w:val="Heading1"/>
        <w:keepNext/>
        <w:ind w:left="567" w:hanging="567"/>
        <w:rPr>
          <w:b/>
        </w:rPr>
      </w:pPr>
      <w:r>
        <w:rPr>
          <w:b/>
        </w:rPr>
        <w:t>Specifieke opmerkingen</w:t>
      </w:r>
    </w:p>
    <w:p w14:paraId="7F58AFF4" w14:textId="77777777" w:rsidR="00FF7E69" w:rsidRPr="007133BD" w:rsidRDefault="00FF7E69" w:rsidP="00797CE7">
      <w:pPr>
        <w:keepNext/>
      </w:pPr>
    </w:p>
    <w:p w14:paraId="0863105E" w14:textId="2DF6BF52" w:rsidR="002B7865" w:rsidRPr="007133BD" w:rsidRDefault="00493045" w:rsidP="00797CE7">
      <w:pPr>
        <w:pStyle w:val="Heading2"/>
        <w:ind w:left="567" w:hanging="567"/>
      </w:pPr>
      <w:r>
        <w:t>Het voorzitterschap beschouwt artificiële intelligentie als het belangrijkste aspect van de digitalisering. Ook de integratie van geavanceerde technologieën in de samenleving en de overgang naar een gigabitmaatschappij zijn zeer belangrijke punten. Met opkomende technologieën zoals AI en de data-economie kan de EU de crisis snel te boven komen en tot ‘s werelds toonaangevende digitale samenleving uitgroeien.</w:t>
      </w:r>
    </w:p>
    <w:p w14:paraId="5B7788D7" w14:textId="77777777" w:rsidR="00493045" w:rsidRPr="007133BD" w:rsidRDefault="00493045" w:rsidP="00493045"/>
    <w:p w14:paraId="13C97DC5" w14:textId="77777777" w:rsidR="00493045" w:rsidRPr="007133BD" w:rsidRDefault="00493045" w:rsidP="00347A5F">
      <w:pPr>
        <w:pStyle w:val="Heading2"/>
        <w:ind w:left="567" w:hanging="567"/>
      </w:pPr>
      <w:r>
        <w:t>Het voorzitterschap heeft het EESC verzocht om vier specifieke vragen te beantwoorden:</w:t>
      </w:r>
    </w:p>
    <w:p w14:paraId="33EAA3FE" w14:textId="6E166A14" w:rsidR="00941EB6" w:rsidRPr="007133BD" w:rsidRDefault="00941EB6" w:rsidP="00AB0776">
      <w:pPr>
        <w:pStyle w:val="ListParagraph"/>
        <w:numPr>
          <w:ilvl w:val="1"/>
          <w:numId w:val="2"/>
        </w:numPr>
        <w:ind w:left="993" w:hanging="426"/>
      </w:pPr>
      <w:r>
        <w:t>Met de datagovernanceverordening worden nieuwe bedrijfsmodellen geïntroduceerd, zoals aanbieders van gegevensuitwisselingsdiensten, die het gebruik van gegevens zullen stimuleren. Hoe denkt het EESC over de economische gevolgen van dergelijke diensten?</w:t>
      </w:r>
    </w:p>
    <w:p w14:paraId="4BA20E4E" w14:textId="5F3C8604" w:rsidR="00941EB6" w:rsidRPr="007133BD" w:rsidRDefault="00941EB6" w:rsidP="00AB0776">
      <w:pPr>
        <w:pStyle w:val="ListParagraph"/>
        <w:numPr>
          <w:ilvl w:val="1"/>
          <w:numId w:val="2"/>
        </w:numPr>
        <w:ind w:left="993" w:hanging="426"/>
      </w:pPr>
      <w:r>
        <w:t>De datagovernanceverordening introduceert gegevensaltruïsme-organisaties, die het gemakkelijker maken om door natuurlijke en rechtspersonen beschikbaar gestelde gegevens te hergebruiken. Dit zal ook de levering van nieuwe diensten mogelijk maken, waaronder het verzamelen van door natuurlijke personen geproduceerde gegevens voor doelstellingen van algemeen belang. Hoe denkt het EESC hierover?</w:t>
      </w:r>
    </w:p>
    <w:p w14:paraId="230BA7AB" w14:textId="2FEE2770" w:rsidR="00BB53F9" w:rsidRPr="007133BD" w:rsidRDefault="00BB53F9" w:rsidP="00AB0776">
      <w:pPr>
        <w:pStyle w:val="ListParagraph"/>
        <w:numPr>
          <w:ilvl w:val="1"/>
          <w:numId w:val="2"/>
        </w:numPr>
        <w:ind w:left="993" w:hanging="426"/>
      </w:pPr>
      <w:r>
        <w:t>Hoe denkt het EESC over het voorstel voor een passende definitie van artificiële intelligentie (opgenomen in de voorgestelde wet inzake artificiële intelligentie van april 2021)?</w:t>
      </w:r>
    </w:p>
    <w:p w14:paraId="112C2317" w14:textId="77777777" w:rsidR="00941EB6" w:rsidRPr="007133BD" w:rsidRDefault="00BB53F9" w:rsidP="00AB0776">
      <w:pPr>
        <w:pStyle w:val="ListParagraph"/>
        <w:numPr>
          <w:ilvl w:val="1"/>
          <w:numId w:val="2"/>
        </w:numPr>
        <w:ind w:left="993" w:hanging="426"/>
      </w:pPr>
      <w:r>
        <w:t>Hoe denkt het EESC over de wet inzake digitale diensten?</w:t>
      </w:r>
    </w:p>
    <w:p w14:paraId="654AE645" w14:textId="77777777" w:rsidR="00493045" w:rsidRPr="007133BD" w:rsidRDefault="00493045" w:rsidP="00AB0776">
      <w:pPr>
        <w:ind w:left="993" w:hanging="426"/>
      </w:pPr>
    </w:p>
    <w:p w14:paraId="0570D8C2" w14:textId="5E6BC150" w:rsidR="00493045" w:rsidRPr="007133BD" w:rsidRDefault="00851D47" w:rsidP="00AB0776">
      <w:pPr>
        <w:pStyle w:val="Heading2"/>
        <w:ind w:left="567" w:hanging="567"/>
        <w:rPr>
          <w:b/>
        </w:rPr>
      </w:pPr>
      <w:r>
        <w:rPr>
          <w:b/>
        </w:rPr>
        <w:t>Met de datagovernanceverordening worden nieuwe bedrijfsmodellen geïntroduceerd, zoals aanbieders van gegevensuitwisselingsdiensten, die het gebruik van gegevens zullen stimuleren.</w:t>
      </w:r>
      <w:r>
        <w:t xml:space="preserve"> </w:t>
      </w:r>
      <w:r>
        <w:rPr>
          <w:b/>
        </w:rPr>
        <w:t>Hoe denkt het EESC over de economische gevolgen van dergelijke diensten?</w:t>
      </w:r>
      <w:r w:rsidR="00BB53F9" w:rsidRPr="007133BD">
        <w:rPr>
          <w:rStyle w:val="FootnoteReference"/>
          <w:b/>
        </w:rPr>
        <w:footnoteReference w:id="7"/>
      </w:r>
    </w:p>
    <w:p w14:paraId="2AB78C15" w14:textId="77777777" w:rsidR="00851D47" w:rsidRPr="007133BD" w:rsidRDefault="00851D47" w:rsidP="00851D47"/>
    <w:p w14:paraId="5E85C92F" w14:textId="77777777" w:rsidR="00851D47" w:rsidRPr="007133BD" w:rsidRDefault="00B20E30" w:rsidP="00AB0776">
      <w:pPr>
        <w:pStyle w:val="Heading3"/>
        <w:ind w:left="567" w:hanging="567"/>
      </w:pPr>
      <w:r>
        <w:t>Het EESC acht de datagovernanceverordening nuttig en nodig, omdat de verwerking, opslag en uitwisseling van digitale gegevens steeds belangrijker worden, niet alleen in economisch maar ook in sociaal en maatschappelijk opzicht, en burgers, overheden en bedrijven daar binnen een complexe en uitvoerige wettelijke context mee te maken hebben.</w:t>
      </w:r>
    </w:p>
    <w:p w14:paraId="4D83FBD2" w14:textId="77777777" w:rsidR="00795E95" w:rsidRPr="007133BD" w:rsidRDefault="00795E95" w:rsidP="00795E95"/>
    <w:p w14:paraId="5B6088C5" w14:textId="77777777" w:rsidR="00795E95" w:rsidRPr="007133BD" w:rsidRDefault="00795E95" w:rsidP="00797CE7">
      <w:pPr>
        <w:pStyle w:val="Heading3"/>
        <w:ind w:left="567" w:hanging="567"/>
      </w:pPr>
      <w:r>
        <w:t>Het EESC erkent het nut van een coöperatief model voor het beheer en de uitwisseling van gegevens; dit kan nl. zeer nuttig zijn voor een neutraal en gedeeld gegevensbeheer. In dit verband spoort het EESC de Commissie en de lidstaten aan om kleine en middelgrote ondernemingen te steunen bij het ontwikkelen van initiatieven om coöperatieve organisaties voor het beheer en de uitwisseling van gegevens op te zetten.</w:t>
      </w:r>
    </w:p>
    <w:p w14:paraId="216BD379" w14:textId="77777777" w:rsidR="002C27D4" w:rsidRPr="007133BD" w:rsidRDefault="002C27D4" w:rsidP="002C27D4"/>
    <w:p w14:paraId="409C7DA2" w14:textId="77777777" w:rsidR="002C27D4" w:rsidRPr="007133BD" w:rsidRDefault="002C27D4" w:rsidP="00797CE7">
      <w:pPr>
        <w:pStyle w:val="Heading3"/>
        <w:ind w:left="567" w:hanging="567"/>
      </w:pPr>
      <w:r>
        <w:lastRenderedPageBreak/>
        <w:t>Coöperaties en andere op samenwerking gebaseerde structuren lijken heel geschikt voor het beheer van activiteiten op het gebied van gegevensbemiddeling, -uitwisseling en -deling tussen burgers (werknemers, consumenten, ondernemers) en bedrijven, Met name in het geval van coöperaties kunnen de belangen van de betrokkenen (“data subjects”) samenvallen met de belangen van de gegevenshouder (“data holder”), die in dit geval eigendom is van de betrokkenen, waardoor deze structuren dus kunnen leiden tot een gezamenlijke participatieve governance van burgers, bedrijven en ondernemers, die de dubbele rol kunnen spelen van zowel verstrekkers als gebruikers van gegevens. Dit kan bevorderlijk zijn voor een klimaat van vertrouwen en openheid, dat een noodzakelijke voorwaarde is voor goede datagovernance op de Europese digitale eengemaakte markt.</w:t>
      </w:r>
    </w:p>
    <w:p w14:paraId="4E8C7DED" w14:textId="77777777" w:rsidR="00851D47" w:rsidRPr="007133BD" w:rsidRDefault="00851D47" w:rsidP="00851D47"/>
    <w:p w14:paraId="7EC7D146" w14:textId="53192AB1" w:rsidR="00851D47" w:rsidRPr="007133BD" w:rsidRDefault="00851D47" w:rsidP="00797CE7">
      <w:pPr>
        <w:pStyle w:val="Heading2"/>
        <w:keepNext/>
        <w:keepLines/>
        <w:ind w:left="567" w:hanging="567"/>
        <w:rPr>
          <w:b/>
        </w:rPr>
      </w:pPr>
      <w:r>
        <w:rPr>
          <w:b/>
        </w:rPr>
        <w:t>De datagovernanceverordening introduceert gegevensaltruïsme-organisaties, die het gemakkelijker maken om door natuurlijke en rechtspersonen beschikbaar gestelde gegevens te hergebruiken. Dit zal ook de levering van nieuwe diensten mogelijk maken, waaronder het verzamelen van door natuurlijke personen geproduceerde gegevens voor doelstellingen van algemeen belang. Hoe denkt het EESC hierover?</w:t>
      </w:r>
      <w:r w:rsidR="00BB53F9" w:rsidRPr="007133BD">
        <w:rPr>
          <w:rStyle w:val="FootnoteReference"/>
          <w:b/>
        </w:rPr>
        <w:footnoteReference w:id="8"/>
      </w:r>
    </w:p>
    <w:p w14:paraId="2F64DEEE" w14:textId="77777777" w:rsidR="00F31FB0" w:rsidRPr="007133BD" w:rsidRDefault="00F31FB0" w:rsidP="00F31FB0"/>
    <w:p w14:paraId="4BC926A1" w14:textId="77777777" w:rsidR="00943C6C" w:rsidRPr="007133BD" w:rsidRDefault="00046854" w:rsidP="00797CE7">
      <w:pPr>
        <w:pStyle w:val="Heading3"/>
        <w:ind w:left="567" w:hanging="567"/>
      </w:pPr>
      <w:r>
        <w:t>Het EESC is ingenomen met het voorstel om te voorzien in regels voor organisaties die zich bezighouden met “gegevensaltruïsme”. Het is het eens met de in het voorstel opgenomen bepaling dat deze organisaties rechtspersoonlijkheid moeten hebben als entiteiten die op non-profitbasis en in het algemeen belang te werk gaan, en bovenal dat ze autonoom en onafhankelijk moeten zijn, met name van organisaties die met het beheer van gegevens commerciële doelen nastreven c.q. winst proberen te maken.</w:t>
      </w:r>
    </w:p>
    <w:p w14:paraId="7EDBC3FA" w14:textId="77777777" w:rsidR="0052433D" w:rsidRPr="007133BD" w:rsidRDefault="0052433D" w:rsidP="0052433D"/>
    <w:p w14:paraId="4FFA57B0" w14:textId="77777777" w:rsidR="0052433D" w:rsidRPr="007133BD" w:rsidRDefault="0052433D" w:rsidP="00797CE7">
      <w:pPr>
        <w:pStyle w:val="Heading3"/>
        <w:ind w:left="567" w:hanging="567"/>
      </w:pPr>
      <w:r>
        <w:t>Met deze vereisten, in combinatie met de instelling van een speciaal openbaar register van dit soort organisaties, wordt adequaat tegemoetgekomen aan de noodzaak van transparantie en bescherming van de rechten en belangen van de burgers en bedrijven die betrokken zijn bij gegevensaltruïsme. Aldus wordt het vertrouwen van alle belanghebbenden vergroot.</w:t>
      </w:r>
    </w:p>
    <w:p w14:paraId="5202DD2B" w14:textId="77777777" w:rsidR="00943C6C" w:rsidRPr="007133BD" w:rsidRDefault="00943C6C" w:rsidP="00F31FB0"/>
    <w:p w14:paraId="52EB997B" w14:textId="0787A631" w:rsidR="00F31FB0" w:rsidRPr="007133BD" w:rsidRDefault="00B32A0A" w:rsidP="00797CE7">
      <w:pPr>
        <w:pStyle w:val="Heading2"/>
        <w:keepNext/>
        <w:keepLines/>
        <w:ind w:left="567" w:hanging="567"/>
        <w:rPr>
          <w:b/>
        </w:rPr>
      </w:pPr>
      <w:r>
        <w:rPr>
          <w:b/>
        </w:rPr>
        <w:t>Hoe denkt het EESC over het voorstel voor een passende definitie van artificiële intelligentie (opgenomen in de voorgestelde wet inzake artificiële intelligentie van april 2021)?</w:t>
      </w:r>
    </w:p>
    <w:p w14:paraId="336BDBE0" w14:textId="77777777" w:rsidR="00F31FB0" w:rsidRPr="007133BD" w:rsidRDefault="00F31FB0" w:rsidP="00797CE7">
      <w:pPr>
        <w:keepNext/>
        <w:keepLines/>
      </w:pPr>
    </w:p>
    <w:p w14:paraId="279DCF81" w14:textId="1BB1D56F" w:rsidR="00EB1A6A" w:rsidRPr="007133BD" w:rsidRDefault="000F4137" w:rsidP="00797CE7">
      <w:pPr>
        <w:pStyle w:val="Heading3"/>
        <w:ind w:left="567" w:hanging="567"/>
      </w:pPr>
      <w:r>
        <w:t>Het EESC vindt het een goede zaak dat de Europese Commissie in haar recente AI-wetgevingsvoorstel duidelijk heeft aangegeven dat grondrechten en Europese waarden centraal staan in de Europese aanpak van AI. Veel van de aanbevelingen die het EESC de afgelopen jaren heeft gedaan, zijn i</w:t>
      </w:r>
      <w:r w:rsidR="00487966">
        <w:t>n dit voorstel terug te vinden.</w:t>
      </w:r>
    </w:p>
    <w:p w14:paraId="41D2159C" w14:textId="77777777" w:rsidR="00EB1A6A" w:rsidRPr="007133BD" w:rsidRDefault="00EB1A6A" w:rsidP="00EB1A6A"/>
    <w:p w14:paraId="4BDEF232" w14:textId="4062C188" w:rsidR="00AD72BF" w:rsidRPr="007133BD" w:rsidRDefault="000F4137" w:rsidP="00797CE7">
      <w:pPr>
        <w:pStyle w:val="Heading3"/>
        <w:ind w:left="567" w:hanging="567"/>
      </w:pPr>
      <w:r>
        <w:t>Om te reageren op het voorstel werkt het EESC momenteel aan een apart advies, waarin het nadrukkelijk zal ingaan op de definitie van AI zoals die in het AIA-voorstel wordt gegeven, want die neemt hi</w:t>
      </w:r>
      <w:r w:rsidR="00487966">
        <w:t>erin een belangrijke plaats in.</w:t>
      </w:r>
    </w:p>
    <w:p w14:paraId="42FE4F7E" w14:textId="77777777" w:rsidR="000F4137" w:rsidRPr="007133BD" w:rsidRDefault="000F4137" w:rsidP="000F4137"/>
    <w:p w14:paraId="1EE3033F" w14:textId="741CFC87" w:rsidR="00EB1A6A" w:rsidRPr="007133BD" w:rsidRDefault="00EB1A6A" w:rsidP="00797CE7">
      <w:pPr>
        <w:pStyle w:val="Heading3"/>
        <w:ind w:left="567" w:hanging="567"/>
      </w:pPr>
      <w:r>
        <w:t xml:space="preserve">Om te beginnen wil het EESC erop wijzen dat het begrip “AI” nog steeds omstreden is, aangezien er geen algemeen aanvaarde definitie bestaat. Een complicerende factor is dat </w:t>
      </w:r>
      <w:r>
        <w:lastRenderedPageBreak/>
        <w:t>juridische definities verschillen van zuiver wetenschappelijke definities, in die zin dat zij moeten voldoen aan een aantal vereisten (waaronder inclusiviteit, nauwkeurigheid, volledigheid, uitvoerbaarheid en duurzaamheid), waarvan sommige wettelijk bindend zijn en andere als goede regelgevingspraktijk worden beschouwd.</w:t>
      </w:r>
    </w:p>
    <w:p w14:paraId="06004029" w14:textId="77777777" w:rsidR="00EB1A6A" w:rsidRPr="007133BD" w:rsidRDefault="00EB1A6A" w:rsidP="00EB1A6A">
      <w:pPr>
        <w:pStyle w:val="Body"/>
      </w:pPr>
    </w:p>
    <w:p w14:paraId="3F7C8D9B" w14:textId="16D77EE0" w:rsidR="005E21D9" w:rsidRPr="007133BD" w:rsidRDefault="00EB1A6A" w:rsidP="00797CE7">
      <w:pPr>
        <w:pStyle w:val="Heading3"/>
        <w:ind w:left="567" w:hanging="567"/>
      </w:pPr>
      <w:r>
        <w:t>Enerzijds wordt in het AIA-voorstel niet alleen gekeken naar de technologie zelf, maar ook naar waarvoor en hoe zij wordt gebruikt. Anderzijds bevat het een specifieke definitie van AI, met inbegrip van een lijst van AI-technieken die binnen het toepassingsgebied van de verordening vallen. Als zodanig lijkt het AIA-voorstel op twee gedachten te hinken. Of deze enigszins ambivalente benadering zal volstaan om de specifieke uitdagingen van AI adequaat aan te pakken en de mogelijkheden ervan te bevorderen, zal in het komende EESC-advies over het AIA-voorste</w:t>
      </w:r>
      <w:r w:rsidR="00487966">
        <w:t>l uitvoeriger worden besproken.</w:t>
      </w:r>
    </w:p>
    <w:p w14:paraId="285139F8" w14:textId="77777777" w:rsidR="00AD72BF" w:rsidRPr="007133BD" w:rsidRDefault="00AD72BF" w:rsidP="00F31FB0"/>
    <w:p w14:paraId="4F299D95" w14:textId="77777777" w:rsidR="00F31FB0" w:rsidRPr="007133BD" w:rsidRDefault="00570DE6" w:rsidP="0095562B">
      <w:pPr>
        <w:pStyle w:val="Heading2"/>
        <w:keepNext/>
        <w:ind w:left="567" w:hanging="567"/>
        <w:rPr>
          <w:b/>
        </w:rPr>
      </w:pPr>
      <w:r>
        <w:rPr>
          <w:b/>
        </w:rPr>
        <w:t>Hoe denkt het EESC over de wet inzake digitale diensten?</w:t>
      </w:r>
      <w:r w:rsidR="00BB53F9" w:rsidRPr="007133BD">
        <w:rPr>
          <w:rStyle w:val="FootnoteReference"/>
          <w:b/>
        </w:rPr>
        <w:footnoteReference w:id="9"/>
      </w:r>
    </w:p>
    <w:p w14:paraId="58BD4F35" w14:textId="77777777" w:rsidR="00194B36" w:rsidRPr="007133BD" w:rsidRDefault="00194B36" w:rsidP="0095562B">
      <w:pPr>
        <w:pStyle w:val="Heading2"/>
        <w:keepNext/>
        <w:numPr>
          <w:ilvl w:val="0"/>
          <w:numId w:val="0"/>
        </w:numPr>
        <w:ind w:left="567"/>
      </w:pPr>
    </w:p>
    <w:p w14:paraId="71948D13" w14:textId="77777777" w:rsidR="00194B36" w:rsidRPr="007133BD" w:rsidRDefault="003138B6" w:rsidP="0095562B">
      <w:pPr>
        <w:pStyle w:val="Heading3"/>
        <w:keepNext/>
        <w:ind w:left="567" w:hanging="567"/>
      </w:pPr>
      <w:r>
        <w:t>Het EESC is ingenomen met het voorstel voor een eengemaakte markt voor digitale diensten nu er in de informatiemaatschappij nieuwe en innovatieve digitale diensten zijn ontstaan die het dagelijks leven van de EU-burgers veranderen en die de manier waarop zij communiceren, verbinding maken, consumeren en zakendoen vormgeven en transformeren.</w:t>
      </w:r>
    </w:p>
    <w:p w14:paraId="6AF51686" w14:textId="77777777" w:rsidR="00CA61AA" w:rsidRPr="007133BD" w:rsidRDefault="00CA61AA" w:rsidP="00CA61AA"/>
    <w:p w14:paraId="576E0000" w14:textId="77777777" w:rsidR="00CA61AA" w:rsidRPr="007133BD" w:rsidRDefault="00CA61AA" w:rsidP="00797CE7">
      <w:pPr>
        <w:pStyle w:val="Heading3"/>
        <w:ind w:left="567" w:hanging="567"/>
      </w:pPr>
      <w:r>
        <w:t>Het EESC steunt de inspanningen van de Commissie om te voorkomen dat de interne markt door een wildgroei aan nationale regels en voorschriften versnipperd raakt, en dringt erop aan dat het uitputtende karakter van de wet inzake digitale diensten duidelijk wordt benadrukt. Dit is een kans om mondiale normen voor digitale markten vast te stellen die Europa kunnen binnenloodsen in dit nieuwe tijdperk, en zo een hoog niveau van consumentenveiligheid en -bescherming te waarborgen.</w:t>
      </w:r>
    </w:p>
    <w:p w14:paraId="3202DA71" w14:textId="77777777" w:rsidR="003A6DCA" w:rsidRPr="007133BD" w:rsidRDefault="003A6DCA" w:rsidP="003A6DCA"/>
    <w:p w14:paraId="3282DDBE" w14:textId="77777777" w:rsidR="003A6DCA" w:rsidRPr="007133BD" w:rsidRDefault="003A6DCA" w:rsidP="00797CE7">
      <w:pPr>
        <w:pStyle w:val="Heading3"/>
        <w:ind w:left="567" w:hanging="567"/>
      </w:pPr>
      <w:r>
        <w:t>Het EESC roept de Commissie en de lidstaten op om een redelijk tijdschema vast te stellen voor de organisatie van de discussie en een inclusieve openbare raadpleging en de uitvoering van de verordening en de strategie. Het is van fundamenteel belang dat sociale partners en maatschappelijke organisaties worden betrokken bij dit proces om voor alle actoren een gelijk speelveld tot stand te brengen.</w:t>
      </w:r>
    </w:p>
    <w:p w14:paraId="6181A0CE" w14:textId="77777777" w:rsidR="003A6DCA" w:rsidRPr="007133BD" w:rsidRDefault="003A6DCA" w:rsidP="003A6DCA"/>
    <w:p w14:paraId="4502F66C" w14:textId="77777777" w:rsidR="003A6DCA" w:rsidRPr="007133BD" w:rsidRDefault="003A6DCA" w:rsidP="00797CE7">
      <w:pPr>
        <w:pStyle w:val="Heading3"/>
        <w:ind w:left="567" w:hanging="567"/>
      </w:pPr>
      <w:r>
        <w:t>Het EESC is verheugd over de grotere transparantie van aanbevelingssystemen en reclame, die ervoor zorgen dat consumenten alleen de advertenties te zien krijgen die zij willen.</w:t>
      </w:r>
    </w:p>
    <w:p w14:paraId="1DB4632E" w14:textId="77777777" w:rsidR="00C92F62" w:rsidRPr="007133BD" w:rsidRDefault="00C92F62" w:rsidP="00C92F62"/>
    <w:p w14:paraId="2C4D9C4D" w14:textId="77777777" w:rsidR="00C92F62" w:rsidRPr="007133BD" w:rsidRDefault="00B114DC" w:rsidP="00797CE7">
      <w:pPr>
        <w:pStyle w:val="Heading3"/>
        <w:ind w:left="567" w:hanging="567"/>
      </w:pPr>
      <w:r>
        <w:t>Het EESC stelt vast dat er veel tekortkomingen zijn met betrekking tot het beginsel van het land van oorsprong en dringt erop aan dat zorgvuldig wordt gekeken naar alternatieve methoden, zoals het beginsel van het land van bestemming, met name voor belasting-, arbeids- en consumentenkwesties, tenzij er op EU-niveau een strengere regelgeving komt om eerlijke concurrentie en een zo hoog mogelijk niveau van consumentenbescherming te waarborgen.</w:t>
      </w:r>
    </w:p>
    <w:p w14:paraId="3871FF7A" w14:textId="77777777" w:rsidR="00F65308" w:rsidRPr="007133BD" w:rsidRDefault="00F65308" w:rsidP="00F65308"/>
    <w:p w14:paraId="0862CC6E" w14:textId="77777777" w:rsidR="00F65308" w:rsidRPr="007133BD" w:rsidRDefault="00F65308" w:rsidP="00797CE7">
      <w:pPr>
        <w:pStyle w:val="Heading3"/>
        <w:ind w:left="567" w:hanging="567"/>
      </w:pPr>
      <w:r>
        <w:lastRenderedPageBreak/>
        <w:t>Het EESC zou graag zien dat er een adequaat kader wordt ontwikkeld om bedrijven in staat te stellen de billijkheid, betrouwbaarheid en veiligheid van hun AI-systemen te garanderen, met het hoogst mogelijke niveau van bescherming van consumenten en werknemers.</w:t>
      </w:r>
    </w:p>
    <w:p w14:paraId="51495B05" w14:textId="77777777" w:rsidR="00F65308" w:rsidRPr="007133BD" w:rsidRDefault="00F65308" w:rsidP="00F65308"/>
    <w:p w14:paraId="0635BE77" w14:textId="77777777" w:rsidR="00F65308" w:rsidRPr="007133BD" w:rsidRDefault="00F65308" w:rsidP="00797CE7">
      <w:pPr>
        <w:pStyle w:val="Heading3"/>
        <w:ind w:left="567" w:hanging="567"/>
      </w:pPr>
      <w:r>
        <w:t>De vrijstelling van aansprakelijkheid voor hostingdiensten mag alleen komen te vervallen voor inhoud die duidelijk illegaal is of die bij rechterlijke beslissing als illegaal is aangemerkt. Het EESC beveelt aan om een positieve aansprakelijkheidsregeling in te voeren en deze in bepaalde omstandigheden op onlinemarktplaatsen toe te passen.</w:t>
      </w:r>
    </w:p>
    <w:p w14:paraId="56D88111" w14:textId="77777777" w:rsidR="00FB43C5" w:rsidRPr="007133BD" w:rsidRDefault="00FB43C5" w:rsidP="00FB43C5"/>
    <w:p w14:paraId="4ADC5EF6" w14:textId="77777777" w:rsidR="00FB43C5" w:rsidRPr="007133BD" w:rsidRDefault="00FB43C5" w:rsidP="00797CE7">
      <w:pPr>
        <w:pStyle w:val="Heading3"/>
        <w:ind w:left="567" w:hanging="567"/>
      </w:pPr>
      <w:r>
        <w:t>Het EESC vestigt de aandacht op de enorme taak om te zorgen voor een goede coördinatie tussen alle relevante instrumenten en initiatieven in de context van een bredere regelgevingsaanpak van de platformeconomie. Er is een goed overzicht nodig van de wijze waarop deze verschillende perspectieven die van invloed zijn op de DSA, met elkaar in evenwicht kunnen worden gebracht.</w:t>
      </w:r>
    </w:p>
    <w:p w14:paraId="0333F1E4" w14:textId="77777777" w:rsidR="00FB43C5" w:rsidRPr="007133BD" w:rsidRDefault="00FB43C5" w:rsidP="00FB43C5"/>
    <w:p w14:paraId="7AD3683B" w14:textId="1EEA5ED6" w:rsidR="00FB43C5" w:rsidRPr="007133BD" w:rsidRDefault="00BB53F9" w:rsidP="0095562B">
      <w:pPr>
        <w:pStyle w:val="Heading3"/>
        <w:keepNext/>
        <w:ind w:left="567" w:hanging="567"/>
      </w:pPr>
      <w:r>
        <w:t>Het EESC beschouwt belastingen</w:t>
      </w:r>
      <w:r w:rsidR="00EB1A6A" w:rsidRPr="007133BD">
        <w:rPr>
          <w:rStyle w:val="FootnoteReference"/>
        </w:rPr>
        <w:footnoteReference w:id="10"/>
      </w:r>
      <w:r>
        <w:t>, gegevensbeheer, arbeidsstatus, arbeidsvoorwaarden en consumentenbescherming als factoren die belangrijk zijn voor de soms oneerlijke concurrentie in de digitale economie, en die speciale aandacht verdienen.</w:t>
      </w:r>
    </w:p>
    <w:p w14:paraId="0A51A52A" w14:textId="23B42AED" w:rsidR="00166791" w:rsidRPr="007133BD" w:rsidRDefault="00166791" w:rsidP="00375C20"/>
    <w:p w14:paraId="640BABB2" w14:textId="70F792D8" w:rsidR="00166791" w:rsidRPr="007133BD" w:rsidRDefault="00166791" w:rsidP="0095562B">
      <w:pPr>
        <w:keepNext/>
      </w:pPr>
      <w:r>
        <w:t>Brussel, 7 juli 2021.</w:t>
      </w:r>
    </w:p>
    <w:p w14:paraId="2EC6C6D9" w14:textId="77777777" w:rsidR="00166791" w:rsidRPr="007133BD" w:rsidRDefault="00166791" w:rsidP="0095562B">
      <w:pPr>
        <w:keepNext/>
      </w:pPr>
    </w:p>
    <w:p w14:paraId="1AC73DFD" w14:textId="77777777" w:rsidR="00166791" w:rsidRPr="007133BD" w:rsidRDefault="00166791" w:rsidP="0095562B">
      <w:pPr>
        <w:keepNext/>
      </w:pPr>
    </w:p>
    <w:p w14:paraId="2255A95A" w14:textId="477C3DC9" w:rsidR="00166791" w:rsidRPr="007133BD" w:rsidRDefault="00166791" w:rsidP="0095562B">
      <w:pPr>
        <w:keepNext/>
      </w:pPr>
    </w:p>
    <w:p w14:paraId="045B30D9" w14:textId="77777777" w:rsidR="002437A8" w:rsidRPr="007133BD" w:rsidRDefault="002437A8" w:rsidP="0095562B">
      <w:pPr>
        <w:keepNext/>
      </w:pPr>
    </w:p>
    <w:p w14:paraId="045D4931" w14:textId="1C00F469" w:rsidR="002437A8" w:rsidRPr="007133BD" w:rsidRDefault="001F44DA" w:rsidP="0095562B">
      <w:pPr>
        <w:keepNext/>
        <w:spacing w:line="240" w:lineRule="auto"/>
        <w:jc w:val="left"/>
      </w:pPr>
      <w:r>
        <w:t>Christa SCHWENG</w:t>
      </w:r>
      <w:r>
        <w:br/>
        <w:t>Voorzitter van het Europees Economisch en Sociaal Comité</w:t>
      </w:r>
    </w:p>
    <w:p w14:paraId="017FD487" w14:textId="77777777" w:rsidR="002437A8" w:rsidRPr="007133BD" w:rsidRDefault="002437A8" w:rsidP="0095562B">
      <w:pPr>
        <w:spacing w:line="240" w:lineRule="auto"/>
        <w:jc w:val="left"/>
      </w:pPr>
    </w:p>
    <w:p w14:paraId="47F7849A" w14:textId="77777777" w:rsidR="00646AC2" w:rsidRPr="007133BD" w:rsidRDefault="00646AC2" w:rsidP="00375C20">
      <w:pPr>
        <w:overflowPunct/>
        <w:adjustRightInd/>
        <w:jc w:val="center"/>
        <w:textAlignment w:val="auto"/>
      </w:pPr>
      <w:r>
        <w:t>_____________</w:t>
      </w:r>
    </w:p>
    <w:sectPr w:rsidR="00646AC2" w:rsidRPr="007133BD" w:rsidSect="007133BD">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AF5F3" w14:textId="77777777" w:rsidR="00835FF9" w:rsidRDefault="00835FF9">
      <w:r>
        <w:separator/>
      </w:r>
    </w:p>
  </w:endnote>
  <w:endnote w:type="continuationSeparator" w:id="0">
    <w:p w14:paraId="742B0975" w14:textId="77777777" w:rsidR="00835FF9" w:rsidRDefault="0083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C8C4" w14:textId="5602491E" w:rsidR="00835FF9" w:rsidRPr="007133BD" w:rsidRDefault="007133BD" w:rsidP="007133BD">
    <w:pPr>
      <w:pStyle w:val="Footer"/>
    </w:pPr>
    <w:r>
      <w:t xml:space="preserve">INT/942 – EESC-2021-02564-00-00-AC-TRA (EN) </w:t>
    </w:r>
    <w:r>
      <w:fldChar w:fldCharType="begin"/>
    </w:r>
    <w:r>
      <w:instrText xml:space="preserve"> PAGE  \* Arabic  \* MERGEFORMAT </w:instrText>
    </w:r>
    <w:r>
      <w:fldChar w:fldCharType="separate"/>
    </w:r>
    <w:r w:rsidR="00EA2C5B">
      <w:rPr>
        <w:noProof/>
      </w:rPr>
      <w:t>1</w:t>
    </w:r>
    <w:r>
      <w:fldChar w:fldCharType="end"/>
    </w:r>
    <w:r>
      <w:t>/</w:t>
    </w:r>
    <w:r w:rsidR="00EA2C5B">
      <w:fldChar w:fldCharType="begin"/>
    </w:r>
    <w:r w:rsidR="00EA2C5B">
      <w:instrText xml:space="preserve"> NUMPAGES </w:instrText>
    </w:r>
    <w:r w:rsidR="00EA2C5B">
      <w:fldChar w:fldCharType="separate"/>
    </w:r>
    <w:r w:rsidR="00EA2C5B">
      <w:rPr>
        <w:noProof/>
      </w:rPr>
      <w:t>9</w:t>
    </w:r>
    <w:r w:rsidR="00EA2C5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9867" w14:textId="77777777" w:rsidR="00835FF9" w:rsidRPr="007133BD" w:rsidRDefault="00835FF9" w:rsidP="007133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21C7A" w14:textId="2BCCD98C" w:rsidR="00835FF9" w:rsidRPr="007133BD" w:rsidRDefault="007133BD" w:rsidP="007133BD">
    <w:pPr>
      <w:pStyle w:val="Footer"/>
    </w:pPr>
    <w:r>
      <w:t xml:space="preserve">INT/942 – EESC-2021-02564-00-00-AC-TRA (EN) </w:t>
    </w:r>
    <w:r>
      <w:fldChar w:fldCharType="begin"/>
    </w:r>
    <w:r>
      <w:instrText xml:space="preserve"> PAGE  \* Arabic  \* MERGEFORMAT </w:instrText>
    </w:r>
    <w:r>
      <w:fldChar w:fldCharType="separate"/>
    </w:r>
    <w:r w:rsidR="00EA2C5B">
      <w:rPr>
        <w:noProof/>
      </w:rPr>
      <w:t>2</w:t>
    </w:r>
    <w:r>
      <w:fldChar w:fldCharType="end"/>
    </w:r>
    <w:r>
      <w:t>/</w:t>
    </w:r>
    <w:r w:rsidR="00EA2C5B">
      <w:fldChar w:fldCharType="begin"/>
    </w:r>
    <w:r w:rsidR="00EA2C5B">
      <w:instrText xml:space="preserve"> NUMPAGES </w:instrText>
    </w:r>
    <w:r w:rsidR="00EA2C5B">
      <w:fldChar w:fldCharType="separate"/>
    </w:r>
    <w:r w:rsidR="00EA2C5B">
      <w:rPr>
        <w:noProof/>
      </w:rPr>
      <w:t>9</w:t>
    </w:r>
    <w:r w:rsidR="00EA2C5B">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13A4B" w14:textId="77777777" w:rsidR="00835FF9" w:rsidRPr="007133BD" w:rsidRDefault="00835FF9" w:rsidP="007133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010EA" w14:textId="77777777" w:rsidR="00835FF9" w:rsidRDefault="00835FF9">
      <w:r>
        <w:separator/>
      </w:r>
    </w:p>
  </w:footnote>
  <w:footnote w:type="continuationSeparator" w:id="0">
    <w:p w14:paraId="3F611F65" w14:textId="77777777" w:rsidR="00835FF9" w:rsidRDefault="00835FF9">
      <w:r>
        <w:continuationSeparator/>
      </w:r>
    </w:p>
  </w:footnote>
  <w:footnote w:id="1">
    <w:p w14:paraId="5EDBDF84" w14:textId="05D24A71" w:rsidR="0050649F" w:rsidRPr="0095562B" w:rsidRDefault="0050649F" w:rsidP="00797CE7">
      <w:pPr>
        <w:pStyle w:val="FootnoteText"/>
        <w:ind w:left="567" w:hanging="567"/>
      </w:pPr>
      <w:r>
        <w:rPr>
          <w:rStyle w:val="FootnoteReference"/>
        </w:rPr>
        <w:footnoteRef/>
      </w:r>
      <w:r>
        <w:t xml:space="preserve"> </w:t>
      </w:r>
      <w:r>
        <w:tab/>
      </w:r>
      <w:hyperlink r:id="rId1" w:history="1">
        <w:r>
          <w:rPr>
            <w:rStyle w:val="Hyperlink"/>
          </w:rPr>
          <w:t>Studie “Boosting the use of Artificial Intelligence in Europe’s micro, small and medium-sized enterprises”</w:t>
        </w:r>
      </w:hyperlink>
      <w:r>
        <w:t>.</w:t>
      </w:r>
    </w:p>
  </w:footnote>
  <w:footnote w:id="2">
    <w:p w14:paraId="0D3AD681" w14:textId="4A971A9C" w:rsidR="00835FF9" w:rsidRPr="00406A5D" w:rsidRDefault="00835FF9" w:rsidP="00797CE7">
      <w:pPr>
        <w:pStyle w:val="FootnoteText"/>
        <w:ind w:left="567" w:hanging="567"/>
      </w:pPr>
      <w:r>
        <w:rPr>
          <w:rStyle w:val="FootnoteReference"/>
        </w:rPr>
        <w:footnoteRef/>
      </w:r>
      <w:r>
        <w:t xml:space="preserve"> </w:t>
      </w:r>
      <w:r>
        <w:tab/>
      </w:r>
      <w:hyperlink r:id="rId2" w:history="1">
        <w:r>
          <w:rPr>
            <w:rStyle w:val="Hyperlink"/>
          </w:rPr>
          <w:t>Datagovernanceverordening</w:t>
        </w:r>
      </w:hyperlink>
      <w:r>
        <w:t xml:space="preserve">; </w:t>
      </w:r>
      <w:hyperlink r:id="rId3" w:history="1">
        <w:r>
          <w:rPr>
            <w:rStyle w:val="Hyperlink"/>
          </w:rPr>
          <w:t>Wet inzake digitale diensten</w:t>
        </w:r>
      </w:hyperlink>
      <w:r>
        <w:t xml:space="preserve">; </w:t>
      </w:r>
      <w:hyperlink r:id="rId4" w:history="1">
        <w:r>
          <w:rPr>
            <w:rStyle w:val="Hyperlink"/>
          </w:rPr>
          <w:t>Wet inzake artificiële intelligentie</w:t>
        </w:r>
      </w:hyperlink>
      <w:r>
        <w:t>.</w:t>
      </w:r>
    </w:p>
  </w:footnote>
  <w:footnote w:id="3">
    <w:p w14:paraId="6D42107B" w14:textId="77777777" w:rsidR="00FD64E2" w:rsidRPr="00406A5D" w:rsidRDefault="00FD64E2" w:rsidP="00FD64E2">
      <w:pPr>
        <w:pStyle w:val="FootnoteText"/>
        <w:ind w:left="567" w:hanging="567"/>
      </w:pPr>
      <w:r>
        <w:rPr>
          <w:rStyle w:val="FootnoteReference"/>
        </w:rPr>
        <w:footnoteRef/>
      </w:r>
      <w:r>
        <w:t xml:space="preserve"> </w:t>
      </w:r>
      <w:r>
        <w:tab/>
      </w:r>
      <w:hyperlink r:id="rId5" w:history="1">
        <w:r>
          <w:rPr>
            <w:rStyle w:val="Hyperlink"/>
          </w:rPr>
          <w:t>Wet inzake digitale diensten</w:t>
        </w:r>
      </w:hyperlink>
      <w:r>
        <w:t>.</w:t>
      </w:r>
    </w:p>
  </w:footnote>
  <w:footnote w:id="4">
    <w:p w14:paraId="718E24C4" w14:textId="51B64535" w:rsidR="00835FF9" w:rsidRPr="00406A5D" w:rsidRDefault="00835FF9" w:rsidP="00797CE7">
      <w:pPr>
        <w:pStyle w:val="FootnoteText"/>
        <w:ind w:left="567" w:hanging="567"/>
      </w:pPr>
      <w:r>
        <w:rPr>
          <w:rStyle w:val="FootnoteReference"/>
        </w:rPr>
        <w:footnoteRef/>
      </w:r>
      <w:r>
        <w:t xml:space="preserve"> </w:t>
      </w:r>
      <w:r>
        <w:tab/>
      </w:r>
      <w:hyperlink r:id="rId6" w:tgtFrame="_blank" w:tooltip="PB C 288 van 31.8.2017, blz. 1 – Link opent in een nieuw venster" w:history="1">
        <w:r>
          <w:rPr>
            <w:rStyle w:val="Hyperlink1"/>
          </w:rPr>
          <w:t>PB C 288 van 31.8.2017, blz. 1</w:t>
        </w:r>
      </w:hyperlink>
      <w:r>
        <w:t>.</w:t>
      </w:r>
    </w:p>
  </w:footnote>
  <w:footnote w:id="5">
    <w:p w14:paraId="4BA396A2" w14:textId="21E4BC79" w:rsidR="00835FF9" w:rsidRPr="00406A5D" w:rsidRDefault="00835FF9" w:rsidP="00797CE7">
      <w:pPr>
        <w:pStyle w:val="FootnoteText"/>
        <w:ind w:left="567" w:hanging="567"/>
      </w:pPr>
      <w:r>
        <w:rPr>
          <w:rStyle w:val="FootnoteReference"/>
        </w:rPr>
        <w:footnoteRef/>
      </w:r>
      <w:r>
        <w:t xml:space="preserve"> </w:t>
      </w:r>
      <w:r>
        <w:tab/>
      </w:r>
      <w:hyperlink r:id="rId7" w:tgtFrame="_blank" w:tooltip="PB C 440 van 6.12.2018, blz. 1 – Link opent in een nieuw venster" w:history="1">
        <w:r>
          <w:rPr>
            <w:rStyle w:val="Hyperlink1"/>
          </w:rPr>
          <w:t>PB C 440 van 6.12.2018, blz. 1</w:t>
        </w:r>
      </w:hyperlink>
      <w:r>
        <w:t xml:space="preserve">; </w:t>
      </w:r>
      <w:hyperlink r:id="rId8" w:tgtFrame="_blank" w:tooltip="PB C 440 van 6.12.2018, blz. 51 – Link opent in een nieuw venster" w:history="1">
        <w:r>
          <w:rPr>
            <w:rStyle w:val="Hyperlink1"/>
          </w:rPr>
          <w:t>PB C 440 van 6.12.2018, blz. 51</w:t>
        </w:r>
      </w:hyperlink>
      <w:r>
        <w:t xml:space="preserve">; </w:t>
      </w:r>
      <w:hyperlink r:id="rId9" w:tgtFrame="_blank" w:tooltip="PB C 240 van 16.7.2019, blz. 51 - Link opent in nieuw venster" w:history="1">
        <w:r>
          <w:rPr>
            <w:rStyle w:val="Hyperlink1"/>
          </w:rPr>
          <w:t>PB C 240 van 16.7.2019, blz. 51</w:t>
        </w:r>
      </w:hyperlink>
      <w:r>
        <w:t xml:space="preserve">; </w:t>
      </w:r>
      <w:hyperlink r:id="rId10" w:history="1">
        <w:r>
          <w:rPr>
            <w:rStyle w:val="Hyperlink1"/>
          </w:rPr>
          <w:t>PB C 47 van 11.2.2020, blz. 64</w:t>
        </w:r>
      </w:hyperlink>
      <w:r>
        <w:t xml:space="preserve">; </w:t>
      </w:r>
      <w:hyperlink r:id="rId11" w:history="1">
        <w:r>
          <w:rPr>
            <w:rStyle w:val="Hyperlink1"/>
          </w:rPr>
          <w:t>PB C 364 van 28.10.2020, blz. 87</w:t>
        </w:r>
      </w:hyperlink>
      <w:r>
        <w:t>.</w:t>
      </w:r>
    </w:p>
  </w:footnote>
  <w:footnote w:id="6">
    <w:p w14:paraId="41306205" w14:textId="4DD31F33" w:rsidR="00835FF9" w:rsidRPr="00406A5D" w:rsidRDefault="00835FF9" w:rsidP="00797CE7">
      <w:pPr>
        <w:pStyle w:val="FootnoteText"/>
        <w:ind w:left="567" w:hanging="567"/>
      </w:pPr>
      <w:r>
        <w:rPr>
          <w:rStyle w:val="FootnoteReference"/>
        </w:rPr>
        <w:footnoteRef/>
      </w:r>
      <w:r>
        <w:t xml:space="preserve"> </w:t>
      </w:r>
      <w:r>
        <w:tab/>
      </w:r>
      <w:hyperlink r:id="rId12" w:history="1">
        <w:r>
          <w:rPr>
            <w:rStyle w:val="Hyperlink"/>
          </w:rPr>
          <w:t>Wet inzake artificiële intelligentie</w:t>
        </w:r>
      </w:hyperlink>
      <w:r>
        <w:t>.</w:t>
      </w:r>
    </w:p>
  </w:footnote>
  <w:footnote w:id="7">
    <w:p w14:paraId="2543C524" w14:textId="6DDF895A" w:rsidR="00835FF9" w:rsidRPr="00406A5D" w:rsidRDefault="00835FF9" w:rsidP="00797CE7">
      <w:pPr>
        <w:pStyle w:val="FootnoteText"/>
        <w:ind w:left="567" w:hanging="567"/>
      </w:pPr>
      <w:r>
        <w:rPr>
          <w:rStyle w:val="FootnoteReference"/>
        </w:rPr>
        <w:footnoteRef/>
      </w:r>
      <w:r>
        <w:t xml:space="preserve"> </w:t>
      </w:r>
      <w:r>
        <w:tab/>
      </w:r>
      <w:hyperlink r:id="rId13" w:history="1">
        <w:r>
          <w:rPr>
            <w:rStyle w:val="Hyperlink"/>
          </w:rPr>
          <w:t>Datagovernanceverordening</w:t>
        </w:r>
      </w:hyperlink>
      <w:r>
        <w:t>.</w:t>
      </w:r>
    </w:p>
  </w:footnote>
  <w:footnote w:id="8">
    <w:p w14:paraId="33EECB59" w14:textId="0D9C9B73" w:rsidR="00835FF9" w:rsidRPr="00406A5D" w:rsidRDefault="00835FF9" w:rsidP="00797CE7">
      <w:pPr>
        <w:pStyle w:val="FootnoteText"/>
        <w:ind w:left="567" w:hanging="567"/>
      </w:pPr>
      <w:r>
        <w:rPr>
          <w:rStyle w:val="FootnoteReference"/>
        </w:rPr>
        <w:footnoteRef/>
      </w:r>
      <w:r>
        <w:t xml:space="preserve"> </w:t>
      </w:r>
      <w:r>
        <w:tab/>
      </w:r>
      <w:hyperlink r:id="rId14" w:history="1">
        <w:r>
          <w:rPr>
            <w:rStyle w:val="Hyperlink"/>
          </w:rPr>
          <w:t>Datagovernanceverordening</w:t>
        </w:r>
      </w:hyperlink>
      <w:r>
        <w:t>.</w:t>
      </w:r>
    </w:p>
  </w:footnote>
  <w:footnote w:id="9">
    <w:p w14:paraId="6AFBE3EE" w14:textId="39AAA5DB" w:rsidR="00835FF9" w:rsidRPr="00406A5D" w:rsidRDefault="00835FF9" w:rsidP="00797CE7">
      <w:pPr>
        <w:pStyle w:val="FootnoteText"/>
        <w:ind w:left="567" w:hanging="567"/>
      </w:pPr>
      <w:r>
        <w:rPr>
          <w:rStyle w:val="FootnoteReference"/>
        </w:rPr>
        <w:footnoteRef/>
      </w:r>
      <w:r>
        <w:t xml:space="preserve"> </w:t>
      </w:r>
      <w:r>
        <w:tab/>
      </w:r>
      <w:hyperlink r:id="rId15" w:history="1">
        <w:r>
          <w:rPr>
            <w:rStyle w:val="Hyperlink"/>
          </w:rPr>
          <w:t>Wet inzake digitale diensten</w:t>
        </w:r>
      </w:hyperlink>
      <w:r>
        <w:t xml:space="preserve">. </w:t>
      </w:r>
    </w:p>
  </w:footnote>
  <w:footnote w:id="10">
    <w:p w14:paraId="2044EF91" w14:textId="62A9A2FD" w:rsidR="00835FF9" w:rsidRPr="00556619" w:rsidRDefault="00835FF9" w:rsidP="00797CE7">
      <w:pPr>
        <w:pStyle w:val="FootnoteText"/>
        <w:ind w:left="567" w:hanging="567"/>
      </w:pPr>
      <w:r>
        <w:rPr>
          <w:rStyle w:val="FootnoteReference"/>
        </w:rPr>
        <w:footnoteRef/>
      </w:r>
      <w:r>
        <w:tab/>
      </w:r>
      <w:hyperlink r:id="rId16" w:tgtFrame="_blank" w:tooltip="PB C 367 van 10.10.2018, blz. 73 – Link opent in een nieuw venster" w:history="1">
        <w:r>
          <w:rPr>
            <w:rStyle w:val="Hyperlink1"/>
            <w:szCs w:val="16"/>
          </w:rPr>
          <w:t>PB C 367 van10.10.2018, blz. 73</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8C295" w14:textId="77777777" w:rsidR="00835FF9" w:rsidRPr="007133BD" w:rsidRDefault="00835FF9" w:rsidP="007133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00D6" w14:textId="48968545" w:rsidR="00835FF9" w:rsidRPr="007133BD" w:rsidRDefault="00835FF9" w:rsidP="007133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2827A" w14:textId="77777777" w:rsidR="00835FF9" w:rsidRPr="007133BD" w:rsidRDefault="00835FF9" w:rsidP="00713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7F62222"/>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b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23605F6"/>
    <w:multiLevelType w:val="hybridMultilevel"/>
    <w:tmpl w:val="E7AC40B4"/>
    <w:lvl w:ilvl="0" w:tplc="98C8BB3C">
      <w:start w:val="1"/>
      <w:numFmt w:val="bullet"/>
      <w:lvlText w:val=""/>
      <w:lvlJc w:val="left"/>
      <w:pPr>
        <w:ind w:left="720" w:hanging="360"/>
      </w:pPr>
      <w:rPr>
        <w:rFonts w:ascii="Symbol" w:hAnsi="Symbol" w:hint="default"/>
      </w:rPr>
    </w:lvl>
    <w:lvl w:ilvl="1" w:tplc="98C8BB3C">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6C737B9"/>
    <w:multiLevelType w:val="multilevel"/>
    <w:tmpl w:val="44305052"/>
    <w:styleLink w:val="ImportedStyle1"/>
    <w:lvl w:ilvl="0">
      <w:start w:val="1"/>
      <w:numFmt w:val="decimal"/>
      <w:suff w:val="nothing"/>
      <w:lvlText w:val="%1."/>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1"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47DE0"/>
    <w:multiLevelType w:val="multilevel"/>
    <w:tmpl w:val="44305052"/>
    <w:numStyleLink w:val="ImportedStyle1"/>
  </w:abstractNum>
  <w:num w:numId="1">
    <w:abstractNumId w:val="0"/>
  </w:num>
  <w:num w:numId="2">
    <w:abstractNumId w:val="1"/>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7B45"/>
    <w:rsid w:val="00020E6E"/>
    <w:rsid w:val="000319B2"/>
    <w:rsid w:val="00031A4B"/>
    <w:rsid w:val="00033913"/>
    <w:rsid w:val="00033DB4"/>
    <w:rsid w:val="00033E5B"/>
    <w:rsid w:val="000357A8"/>
    <w:rsid w:val="000367FC"/>
    <w:rsid w:val="000430A6"/>
    <w:rsid w:val="00044923"/>
    <w:rsid w:val="00046854"/>
    <w:rsid w:val="0005249C"/>
    <w:rsid w:val="000534A5"/>
    <w:rsid w:val="0005476A"/>
    <w:rsid w:val="0005680D"/>
    <w:rsid w:val="0006363C"/>
    <w:rsid w:val="00063FB4"/>
    <w:rsid w:val="0006793E"/>
    <w:rsid w:val="00072E0F"/>
    <w:rsid w:val="000735E5"/>
    <w:rsid w:val="0007392F"/>
    <w:rsid w:val="00075C63"/>
    <w:rsid w:val="00087B39"/>
    <w:rsid w:val="00093DE0"/>
    <w:rsid w:val="00096502"/>
    <w:rsid w:val="000A49BB"/>
    <w:rsid w:val="000A5670"/>
    <w:rsid w:val="000A7AE7"/>
    <w:rsid w:val="000B21EF"/>
    <w:rsid w:val="000B7E88"/>
    <w:rsid w:val="000C3441"/>
    <w:rsid w:val="000C7F53"/>
    <w:rsid w:val="000D2F8E"/>
    <w:rsid w:val="000E3743"/>
    <w:rsid w:val="000F196B"/>
    <w:rsid w:val="000F4137"/>
    <w:rsid w:val="00105361"/>
    <w:rsid w:val="001101F8"/>
    <w:rsid w:val="0011206F"/>
    <w:rsid w:val="0011656A"/>
    <w:rsid w:val="0012220C"/>
    <w:rsid w:val="0012625E"/>
    <w:rsid w:val="00136EA3"/>
    <w:rsid w:val="00137575"/>
    <w:rsid w:val="00144231"/>
    <w:rsid w:val="00150434"/>
    <w:rsid w:val="0015343E"/>
    <w:rsid w:val="00155721"/>
    <w:rsid w:val="0016503F"/>
    <w:rsid w:val="0016674F"/>
    <w:rsid w:val="00166791"/>
    <w:rsid w:val="00167CA0"/>
    <w:rsid w:val="0017120D"/>
    <w:rsid w:val="001714F6"/>
    <w:rsid w:val="00176168"/>
    <w:rsid w:val="00177158"/>
    <w:rsid w:val="00184FD4"/>
    <w:rsid w:val="00186B04"/>
    <w:rsid w:val="00186F1E"/>
    <w:rsid w:val="00190836"/>
    <w:rsid w:val="00193930"/>
    <w:rsid w:val="00194B36"/>
    <w:rsid w:val="001963A5"/>
    <w:rsid w:val="001963FB"/>
    <w:rsid w:val="00196F1E"/>
    <w:rsid w:val="00197FCA"/>
    <w:rsid w:val="001A27DB"/>
    <w:rsid w:val="001A43D7"/>
    <w:rsid w:val="001A6852"/>
    <w:rsid w:val="001B286A"/>
    <w:rsid w:val="001B2D02"/>
    <w:rsid w:val="001B3647"/>
    <w:rsid w:val="001B77FA"/>
    <w:rsid w:val="001C0ABE"/>
    <w:rsid w:val="001C5852"/>
    <w:rsid w:val="001D45F0"/>
    <w:rsid w:val="001E1335"/>
    <w:rsid w:val="001E4A33"/>
    <w:rsid w:val="001E4A83"/>
    <w:rsid w:val="001E5C27"/>
    <w:rsid w:val="001E5E71"/>
    <w:rsid w:val="001F0264"/>
    <w:rsid w:val="001F44DA"/>
    <w:rsid w:val="001F5E70"/>
    <w:rsid w:val="001F602B"/>
    <w:rsid w:val="001F6AC8"/>
    <w:rsid w:val="002037D5"/>
    <w:rsid w:val="00206F90"/>
    <w:rsid w:val="00212B03"/>
    <w:rsid w:val="00215C10"/>
    <w:rsid w:val="00215C2D"/>
    <w:rsid w:val="002252C4"/>
    <w:rsid w:val="0023140A"/>
    <w:rsid w:val="0023183E"/>
    <w:rsid w:val="00235138"/>
    <w:rsid w:val="00237F62"/>
    <w:rsid w:val="00241398"/>
    <w:rsid w:val="002437A8"/>
    <w:rsid w:val="00243E36"/>
    <w:rsid w:val="0024540B"/>
    <w:rsid w:val="00245EF4"/>
    <w:rsid w:val="00250E11"/>
    <w:rsid w:val="00251383"/>
    <w:rsid w:val="002522C9"/>
    <w:rsid w:val="00252A21"/>
    <w:rsid w:val="00253E4F"/>
    <w:rsid w:val="002542E4"/>
    <w:rsid w:val="002544F8"/>
    <w:rsid w:val="00261053"/>
    <w:rsid w:val="00262FDE"/>
    <w:rsid w:val="00263629"/>
    <w:rsid w:val="002766B3"/>
    <w:rsid w:val="002769BD"/>
    <w:rsid w:val="002809EA"/>
    <w:rsid w:val="00284962"/>
    <w:rsid w:val="00287B0E"/>
    <w:rsid w:val="0029549C"/>
    <w:rsid w:val="002A0B53"/>
    <w:rsid w:val="002A0EEF"/>
    <w:rsid w:val="002B2261"/>
    <w:rsid w:val="002B2DF7"/>
    <w:rsid w:val="002B7865"/>
    <w:rsid w:val="002C1D46"/>
    <w:rsid w:val="002C27D4"/>
    <w:rsid w:val="002C2D39"/>
    <w:rsid w:val="002C3BF4"/>
    <w:rsid w:val="002C749F"/>
    <w:rsid w:val="002F059B"/>
    <w:rsid w:val="002F5B0B"/>
    <w:rsid w:val="00300924"/>
    <w:rsid w:val="0030596E"/>
    <w:rsid w:val="003073C3"/>
    <w:rsid w:val="003138B6"/>
    <w:rsid w:val="00323637"/>
    <w:rsid w:val="00324E8A"/>
    <w:rsid w:val="00331D87"/>
    <w:rsid w:val="00332850"/>
    <w:rsid w:val="00334478"/>
    <w:rsid w:val="003346B4"/>
    <w:rsid w:val="00334AE6"/>
    <w:rsid w:val="003365D0"/>
    <w:rsid w:val="003439AB"/>
    <w:rsid w:val="00347A5F"/>
    <w:rsid w:val="00354695"/>
    <w:rsid w:val="0035549B"/>
    <w:rsid w:val="00355563"/>
    <w:rsid w:val="003755C8"/>
    <w:rsid w:val="00375687"/>
    <w:rsid w:val="00375C20"/>
    <w:rsid w:val="00380AE0"/>
    <w:rsid w:val="00383324"/>
    <w:rsid w:val="00387A75"/>
    <w:rsid w:val="003904FD"/>
    <w:rsid w:val="003926D5"/>
    <w:rsid w:val="00394254"/>
    <w:rsid w:val="003A6DCA"/>
    <w:rsid w:val="003B2C10"/>
    <w:rsid w:val="003C2BFB"/>
    <w:rsid w:val="003C436B"/>
    <w:rsid w:val="003C5337"/>
    <w:rsid w:val="003C53BD"/>
    <w:rsid w:val="003C5F92"/>
    <w:rsid w:val="003D7A8C"/>
    <w:rsid w:val="003D7C00"/>
    <w:rsid w:val="003E0EB4"/>
    <w:rsid w:val="003E423D"/>
    <w:rsid w:val="003E56E5"/>
    <w:rsid w:val="003E7E60"/>
    <w:rsid w:val="003F00D4"/>
    <w:rsid w:val="003F2209"/>
    <w:rsid w:val="003F3D39"/>
    <w:rsid w:val="003F646A"/>
    <w:rsid w:val="003F6761"/>
    <w:rsid w:val="003F6A0A"/>
    <w:rsid w:val="004024F5"/>
    <w:rsid w:val="00402DE1"/>
    <w:rsid w:val="00403D8B"/>
    <w:rsid w:val="004058F1"/>
    <w:rsid w:val="00406A5D"/>
    <w:rsid w:val="00406DEB"/>
    <w:rsid w:val="00407E7D"/>
    <w:rsid w:val="0041283D"/>
    <w:rsid w:val="00413AB4"/>
    <w:rsid w:val="00414476"/>
    <w:rsid w:val="00421373"/>
    <w:rsid w:val="00421FB7"/>
    <w:rsid w:val="0042763B"/>
    <w:rsid w:val="0043024C"/>
    <w:rsid w:val="00434463"/>
    <w:rsid w:val="00436706"/>
    <w:rsid w:val="00443D38"/>
    <w:rsid w:val="00444B51"/>
    <w:rsid w:val="00450E7A"/>
    <w:rsid w:val="00456AF8"/>
    <w:rsid w:val="00462BA5"/>
    <w:rsid w:val="00470B15"/>
    <w:rsid w:val="00475721"/>
    <w:rsid w:val="00475869"/>
    <w:rsid w:val="00475A77"/>
    <w:rsid w:val="004765AC"/>
    <w:rsid w:val="004801EB"/>
    <w:rsid w:val="00482DDC"/>
    <w:rsid w:val="00483E6C"/>
    <w:rsid w:val="00485A60"/>
    <w:rsid w:val="004866A9"/>
    <w:rsid w:val="0048752F"/>
    <w:rsid w:val="00487966"/>
    <w:rsid w:val="00492774"/>
    <w:rsid w:val="00493045"/>
    <w:rsid w:val="00496D7A"/>
    <w:rsid w:val="004A31BC"/>
    <w:rsid w:val="004A3F1A"/>
    <w:rsid w:val="004A3F45"/>
    <w:rsid w:val="004B1AFA"/>
    <w:rsid w:val="004B6047"/>
    <w:rsid w:val="004B7088"/>
    <w:rsid w:val="004C5B76"/>
    <w:rsid w:val="004D02CD"/>
    <w:rsid w:val="004D0B24"/>
    <w:rsid w:val="004D4B90"/>
    <w:rsid w:val="004D612C"/>
    <w:rsid w:val="004D6B95"/>
    <w:rsid w:val="004D7F41"/>
    <w:rsid w:val="004E03A2"/>
    <w:rsid w:val="004E317E"/>
    <w:rsid w:val="004E3954"/>
    <w:rsid w:val="004E5856"/>
    <w:rsid w:val="004F2330"/>
    <w:rsid w:val="004F53C6"/>
    <w:rsid w:val="004F69DB"/>
    <w:rsid w:val="004F6B87"/>
    <w:rsid w:val="00501C2D"/>
    <w:rsid w:val="00502637"/>
    <w:rsid w:val="0050649F"/>
    <w:rsid w:val="00511140"/>
    <w:rsid w:val="00513CFE"/>
    <w:rsid w:val="00523B6A"/>
    <w:rsid w:val="0052433D"/>
    <w:rsid w:val="00525F6C"/>
    <w:rsid w:val="00537E37"/>
    <w:rsid w:val="00546AB4"/>
    <w:rsid w:val="005514E5"/>
    <w:rsid w:val="00556619"/>
    <w:rsid w:val="00563C84"/>
    <w:rsid w:val="00570DE6"/>
    <w:rsid w:val="005762F6"/>
    <w:rsid w:val="00584FBE"/>
    <w:rsid w:val="00585483"/>
    <w:rsid w:val="00587378"/>
    <w:rsid w:val="00587C05"/>
    <w:rsid w:val="00590AAB"/>
    <w:rsid w:val="005938C3"/>
    <w:rsid w:val="0059468C"/>
    <w:rsid w:val="00595125"/>
    <w:rsid w:val="005957EA"/>
    <w:rsid w:val="00596F21"/>
    <w:rsid w:val="005B1CDD"/>
    <w:rsid w:val="005B1E19"/>
    <w:rsid w:val="005B55FC"/>
    <w:rsid w:val="005C2D5E"/>
    <w:rsid w:val="005C3B81"/>
    <w:rsid w:val="005C3DA2"/>
    <w:rsid w:val="005C650C"/>
    <w:rsid w:val="005D086C"/>
    <w:rsid w:val="005D11D3"/>
    <w:rsid w:val="005D4E1F"/>
    <w:rsid w:val="005D4FB3"/>
    <w:rsid w:val="005E21D9"/>
    <w:rsid w:val="005E2F07"/>
    <w:rsid w:val="005E2FEA"/>
    <w:rsid w:val="005E536E"/>
    <w:rsid w:val="005F314B"/>
    <w:rsid w:val="00610160"/>
    <w:rsid w:val="00611AF2"/>
    <w:rsid w:val="0061212B"/>
    <w:rsid w:val="006127AF"/>
    <w:rsid w:val="00615FB2"/>
    <w:rsid w:val="00617BD1"/>
    <w:rsid w:val="00617CE8"/>
    <w:rsid w:val="00617F97"/>
    <w:rsid w:val="00621F49"/>
    <w:rsid w:val="006278A0"/>
    <w:rsid w:val="0063095F"/>
    <w:rsid w:val="00646AC2"/>
    <w:rsid w:val="00650390"/>
    <w:rsid w:val="006542CE"/>
    <w:rsid w:val="00654DAB"/>
    <w:rsid w:val="0066204A"/>
    <w:rsid w:val="00670E3C"/>
    <w:rsid w:val="00675ED3"/>
    <w:rsid w:val="00677F57"/>
    <w:rsid w:val="00681088"/>
    <w:rsid w:val="0069577E"/>
    <w:rsid w:val="0069634B"/>
    <w:rsid w:val="00696623"/>
    <w:rsid w:val="006A04E9"/>
    <w:rsid w:val="006A4A03"/>
    <w:rsid w:val="006A7543"/>
    <w:rsid w:val="006B725C"/>
    <w:rsid w:val="006C273D"/>
    <w:rsid w:val="006C5C4F"/>
    <w:rsid w:val="006C6282"/>
    <w:rsid w:val="006C762A"/>
    <w:rsid w:val="006D0BBE"/>
    <w:rsid w:val="006D10CD"/>
    <w:rsid w:val="006D5FF9"/>
    <w:rsid w:val="006E0772"/>
    <w:rsid w:val="006E0F86"/>
    <w:rsid w:val="006E1D21"/>
    <w:rsid w:val="006F0B15"/>
    <w:rsid w:val="006F0DCC"/>
    <w:rsid w:val="006F29CD"/>
    <w:rsid w:val="00702A06"/>
    <w:rsid w:val="0070303F"/>
    <w:rsid w:val="007038F2"/>
    <w:rsid w:val="00703DF9"/>
    <w:rsid w:val="007048EB"/>
    <w:rsid w:val="00704FBB"/>
    <w:rsid w:val="0070726A"/>
    <w:rsid w:val="0071226B"/>
    <w:rsid w:val="007133BD"/>
    <w:rsid w:val="00717040"/>
    <w:rsid w:val="00717184"/>
    <w:rsid w:val="00731B56"/>
    <w:rsid w:val="00755D75"/>
    <w:rsid w:val="007667FE"/>
    <w:rsid w:val="00766CC0"/>
    <w:rsid w:val="0077480E"/>
    <w:rsid w:val="007750A2"/>
    <w:rsid w:val="007817D6"/>
    <w:rsid w:val="00787912"/>
    <w:rsid w:val="0079177A"/>
    <w:rsid w:val="00794836"/>
    <w:rsid w:val="007948D5"/>
    <w:rsid w:val="00795E95"/>
    <w:rsid w:val="00797CE7"/>
    <w:rsid w:val="007A15C9"/>
    <w:rsid w:val="007A4264"/>
    <w:rsid w:val="007A6676"/>
    <w:rsid w:val="007B7FF5"/>
    <w:rsid w:val="007C3FC6"/>
    <w:rsid w:val="007D2CE9"/>
    <w:rsid w:val="007D4FED"/>
    <w:rsid w:val="007D69DA"/>
    <w:rsid w:val="007D70B1"/>
    <w:rsid w:val="007D7140"/>
    <w:rsid w:val="007E1C73"/>
    <w:rsid w:val="007E1CDB"/>
    <w:rsid w:val="007E408C"/>
    <w:rsid w:val="007E4119"/>
    <w:rsid w:val="007E4535"/>
    <w:rsid w:val="007E7E21"/>
    <w:rsid w:val="007F0460"/>
    <w:rsid w:val="007F0DA2"/>
    <w:rsid w:val="007F39CE"/>
    <w:rsid w:val="007F5E0D"/>
    <w:rsid w:val="00801085"/>
    <w:rsid w:val="00801A89"/>
    <w:rsid w:val="00803383"/>
    <w:rsid w:val="00812138"/>
    <w:rsid w:val="008151F2"/>
    <w:rsid w:val="008173A7"/>
    <w:rsid w:val="0081777A"/>
    <w:rsid w:val="008210E0"/>
    <w:rsid w:val="00824079"/>
    <w:rsid w:val="00831F0A"/>
    <w:rsid w:val="00833A78"/>
    <w:rsid w:val="00835CCF"/>
    <w:rsid w:val="00835FF9"/>
    <w:rsid w:val="00840197"/>
    <w:rsid w:val="0084585F"/>
    <w:rsid w:val="00851D47"/>
    <w:rsid w:val="00853E53"/>
    <w:rsid w:val="00860598"/>
    <w:rsid w:val="00864D76"/>
    <w:rsid w:val="00864F44"/>
    <w:rsid w:val="008656C9"/>
    <w:rsid w:val="0086711C"/>
    <w:rsid w:val="00867535"/>
    <w:rsid w:val="00875C5B"/>
    <w:rsid w:val="00883C5F"/>
    <w:rsid w:val="00891C7D"/>
    <w:rsid w:val="00892FA7"/>
    <w:rsid w:val="008939F3"/>
    <w:rsid w:val="0089648C"/>
    <w:rsid w:val="008A3301"/>
    <w:rsid w:val="008A4DF1"/>
    <w:rsid w:val="008A5636"/>
    <w:rsid w:val="008A74C6"/>
    <w:rsid w:val="008B125E"/>
    <w:rsid w:val="008B241C"/>
    <w:rsid w:val="008B408B"/>
    <w:rsid w:val="008B4F11"/>
    <w:rsid w:val="008B77A5"/>
    <w:rsid w:val="008C2362"/>
    <w:rsid w:val="008C3049"/>
    <w:rsid w:val="008D4AE9"/>
    <w:rsid w:val="008D5CF3"/>
    <w:rsid w:val="008D62AF"/>
    <w:rsid w:val="008D71FB"/>
    <w:rsid w:val="008D7D39"/>
    <w:rsid w:val="008E4574"/>
    <w:rsid w:val="008F0DF5"/>
    <w:rsid w:val="008F33AD"/>
    <w:rsid w:val="008F3CF9"/>
    <w:rsid w:val="008F4016"/>
    <w:rsid w:val="008F42FE"/>
    <w:rsid w:val="008F4A00"/>
    <w:rsid w:val="008F5402"/>
    <w:rsid w:val="0090053A"/>
    <w:rsid w:val="00901C2A"/>
    <w:rsid w:val="009076F9"/>
    <w:rsid w:val="009118C7"/>
    <w:rsid w:val="009201A0"/>
    <w:rsid w:val="009225B6"/>
    <w:rsid w:val="00923DED"/>
    <w:rsid w:val="00925397"/>
    <w:rsid w:val="00933A21"/>
    <w:rsid w:val="00934C10"/>
    <w:rsid w:val="0093662A"/>
    <w:rsid w:val="00936B57"/>
    <w:rsid w:val="00937E68"/>
    <w:rsid w:val="0094060C"/>
    <w:rsid w:val="00941EB6"/>
    <w:rsid w:val="00943C6C"/>
    <w:rsid w:val="0095562B"/>
    <w:rsid w:val="00955A4A"/>
    <w:rsid w:val="009606A5"/>
    <w:rsid w:val="00962F1F"/>
    <w:rsid w:val="00965304"/>
    <w:rsid w:val="00971293"/>
    <w:rsid w:val="00973A3B"/>
    <w:rsid w:val="00983EAE"/>
    <w:rsid w:val="0098760B"/>
    <w:rsid w:val="009A11DD"/>
    <w:rsid w:val="009B30AA"/>
    <w:rsid w:val="009B5217"/>
    <w:rsid w:val="009C1303"/>
    <w:rsid w:val="009C4798"/>
    <w:rsid w:val="009C48DE"/>
    <w:rsid w:val="009E1E1E"/>
    <w:rsid w:val="009E33E3"/>
    <w:rsid w:val="009E3EC6"/>
    <w:rsid w:val="009E7AD6"/>
    <w:rsid w:val="009E7F16"/>
    <w:rsid w:val="009E7FE1"/>
    <w:rsid w:val="009F5052"/>
    <w:rsid w:val="00A04C85"/>
    <w:rsid w:val="00A100F0"/>
    <w:rsid w:val="00A156E6"/>
    <w:rsid w:val="00A24579"/>
    <w:rsid w:val="00A27D86"/>
    <w:rsid w:val="00A316C0"/>
    <w:rsid w:val="00A33151"/>
    <w:rsid w:val="00A3553D"/>
    <w:rsid w:val="00A36970"/>
    <w:rsid w:val="00A41EB4"/>
    <w:rsid w:val="00A44BFF"/>
    <w:rsid w:val="00A45118"/>
    <w:rsid w:val="00A501E3"/>
    <w:rsid w:val="00A50F0C"/>
    <w:rsid w:val="00A56441"/>
    <w:rsid w:val="00A62B6D"/>
    <w:rsid w:val="00A736DD"/>
    <w:rsid w:val="00A82869"/>
    <w:rsid w:val="00A8758C"/>
    <w:rsid w:val="00A87CF0"/>
    <w:rsid w:val="00AA127E"/>
    <w:rsid w:val="00AA19AE"/>
    <w:rsid w:val="00AA423D"/>
    <w:rsid w:val="00AA6A95"/>
    <w:rsid w:val="00AA76FE"/>
    <w:rsid w:val="00AB0776"/>
    <w:rsid w:val="00AB10DE"/>
    <w:rsid w:val="00AB3668"/>
    <w:rsid w:val="00AB5ED7"/>
    <w:rsid w:val="00AC0B4C"/>
    <w:rsid w:val="00AC1DE2"/>
    <w:rsid w:val="00AD0AEE"/>
    <w:rsid w:val="00AD49E3"/>
    <w:rsid w:val="00AD4B4F"/>
    <w:rsid w:val="00AD72BF"/>
    <w:rsid w:val="00AE6E4A"/>
    <w:rsid w:val="00AF0616"/>
    <w:rsid w:val="00AF0E28"/>
    <w:rsid w:val="00AF6F9B"/>
    <w:rsid w:val="00B01409"/>
    <w:rsid w:val="00B10DBD"/>
    <w:rsid w:val="00B114DC"/>
    <w:rsid w:val="00B1486C"/>
    <w:rsid w:val="00B15629"/>
    <w:rsid w:val="00B20E30"/>
    <w:rsid w:val="00B212EB"/>
    <w:rsid w:val="00B2372C"/>
    <w:rsid w:val="00B32A0A"/>
    <w:rsid w:val="00B32F70"/>
    <w:rsid w:val="00B373D0"/>
    <w:rsid w:val="00B43AAA"/>
    <w:rsid w:val="00B53139"/>
    <w:rsid w:val="00B562CE"/>
    <w:rsid w:val="00B60B84"/>
    <w:rsid w:val="00B62DE2"/>
    <w:rsid w:val="00B74417"/>
    <w:rsid w:val="00B77246"/>
    <w:rsid w:val="00B82CAC"/>
    <w:rsid w:val="00B866CD"/>
    <w:rsid w:val="00B86AB4"/>
    <w:rsid w:val="00B93034"/>
    <w:rsid w:val="00B9425D"/>
    <w:rsid w:val="00B97C5D"/>
    <w:rsid w:val="00BA1290"/>
    <w:rsid w:val="00BA3101"/>
    <w:rsid w:val="00BB2792"/>
    <w:rsid w:val="00BB53F9"/>
    <w:rsid w:val="00BB76BF"/>
    <w:rsid w:val="00BC1AD1"/>
    <w:rsid w:val="00BC4A58"/>
    <w:rsid w:val="00BC613B"/>
    <w:rsid w:val="00BD51D9"/>
    <w:rsid w:val="00BD5C76"/>
    <w:rsid w:val="00BD64E2"/>
    <w:rsid w:val="00BE4995"/>
    <w:rsid w:val="00BE57CF"/>
    <w:rsid w:val="00BF1D05"/>
    <w:rsid w:val="00BF429A"/>
    <w:rsid w:val="00BF62BE"/>
    <w:rsid w:val="00C07126"/>
    <w:rsid w:val="00C104DA"/>
    <w:rsid w:val="00C16853"/>
    <w:rsid w:val="00C263F0"/>
    <w:rsid w:val="00C33D41"/>
    <w:rsid w:val="00C34446"/>
    <w:rsid w:val="00C40106"/>
    <w:rsid w:val="00C40AFD"/>
    <w:rsid w:val="00C41E20"/>
    <w:rsid w:val="00C42E3E"/>
    <w:rsid w:val="00C453A2"/>
    <w:rsid w:val="00C51C13"/>
    <w:rsid w:val="00C525A5"/>
    <w:rsid w:val="00C5300F"/>
    <w:rsid w:val="00C55185"/>
    <w:rsid w:val="00C66CE0"/>
    <w:rsid w:val="00C708F8"/>
    <w:rsid w:val="00C71BED"/>
    <w:rsid w:val="00C747C0"/>
    <w:rsid w:val="00C81B53"/>
    <w:rsid w:val="00C82AD2"/>
    <w:rsid w:val="00C90FB6"/>
    <w:rsid w:val="00C9220E"/>
    <w:rsid w:val="00C92F62"/>
    <w:rsid w:val="00C932BD"/>
    <w:rsid w:val="00C93429"/>
    <w:rsid w:val="00CA16C5"/>
    <w:rsid w:val="00CA23D1"/>
    <w:rsid w:val="00CA415A"/>
    <w:rsid w:val="00CA61AA"/>
    <w:rsid w:val="00CA7A35"/>
    <w:rsid w:val="00CB1536"/>
    <w:rsid w:val="00CB4624"/>
    <w:rsid w:val="00CB5F3C"/>
    <w:rsid w:val="00CB7FB8"/>
    <w:rsid w:val="00CC1F71"/>
    <w:rsid w:val="00CC5EB3"/>
    <w:rsid w:val="00CD0E7B"/>
    <w:rsid w:val="00CD2ABD"/>
    <w:rsid w:val="00CD4024"/>
    <w:rsid w:val="00CD4617"/>
    <w:rsid w:val="00CD4855"/>
    <w:rsid w:val="00CE6318"/>
    <w:rsid w:val="00CE6D43"/>
    <w:rsid w:val="00CE7888"/>
    <w:rsid w:val="00D015E2"/>
    <w:rsid w:val="00D10E1C"/>
    <w:rsid w:val="00D14774"/>
    <w:rsid w:val="00D161A3"/>
    <w:rsid w:val="00D22E49"/>
    <w:rsid w:val="00D23716"/>
    <w:rsid w:val="00D25ED8"/>
    <w:rsid w:val="00D27F8F"/>
    <w:rsid w:val="00D316B8"/>
    <w:rsid w:val="00D31CFC"/>
    <w:rsid w:val="00D3255D"/>
    <w:rsid w:val="00D340C3"/>
    <w:rsid w:val="00D409CD"/>
    <w:rsid w:val="00D423D4"/>
    <w:rsid w:val="00D42CAF"/>
    <w:rsid w:val="00D4763B"/>
    <w:rsid w:val="00D53136"/>
    <w:rsid w:val="00D601EF"/>
    <w:rsid w:val="00D61533"/>
    <w:rsid w:val="00D63B2F"/>
    <w:rsid w:val="00D70747"/>
    <w:rsid w:val="00D7261D"/>
    <w:rsid w:val="00D755FC"/>
    <w:rsid w:val="00D76B6D"/>
    <w:rsid w:val="00D837DE"/>
    <w:rsid w:val="00D84D07"/>
    <w:rsid w:val="00D8526A"/>
    <w:rsid w:val="00D90E91"/>
    <w:rsid w:val="00DB0EA2"/>
    <w:rsid w:val="00DB463F"/>
    <w:rsid w:val="00DB53C1"/>
    <w:rsid w:val="00DB6A14"/>
    <w:rsid w:val="00DB785A"/>
    <w:rsid w:val="00DC1347"/>
    <w:rsid w:val="00DC220D"/>
    <w:rsid w:val="00DC39F1"/>
    <w:rsid w:val="00DC51C0"/>
    <w:rsid w:val="00DC6885"/>
    <w:rsid w:val="00DE4B35"/>
    <w:rsid w:val="00DE6DAE"/>
    <w:rsid w:val="00DF1294"/>
    <w:rsid w:val="00DF19C1"/>
    <w:rsid w:val="00DF54CA"/>
    <w:rsid w:val="00DF5B64"/>
    <w:rsid w:val="00E02794"/>
    <w:rsid w:val="00E043E3"/>
    <w:rsid w:val="00E0505B"/>
    <w:rsid w:val="00E11280"/>
    <w:rsid w:val="00E12359"/>
    <w:rsid w:val="00E152FF"/>
    <w:rsid w:val="00E20D26"/>
    <w:rsid w:val="00E2461B"/>
    <w:rsid w:val="00E24886"/>
    <w:rsid w:val="00E276FB"/>
    <w:rsid w:val="00E32595"/>
    <w:rsid w:val="00E33A74"/>
    <w:rsid w:val="00E3588C"/>
    <w:rsid w:val="00E4030B"/>
    <w:rsid w:val="00E41D56"/>
    <w:rsid w:val="00E457DF"/>
    <w:rsid w:val="00E46642"/>
    <w:rsid w:val="00E5139A"/>
    <w:rsid w:val="00E5413D"/>
    <w:rsid w:val="00E57977"/>
    <w:rsid w:val="00E635D7"/>
    <w:rsid w:val="00E70576"/>
    <w:rsid w:val="00E83954"/>
    <w:rsid w:val="00E91730"/>
    <w:rsid w:val="00E96F04"/>
    <w:rsid w:val="00E97AEC"/>
    <w:rsid w:val="00EA20FE"/>
    <w:rsid w:val="00EA2C5B"/>
    <w:rsid w:val="00EA71F8"/>
    <w:rsid w:val="00EB1052"/>
    <w:rsid w:val="00EB1A6A"/>
    <w:rsid w:val="00EB491E"/>
    <w:rsid w:val="00EB4E5B"/>
    <w:rsid w:val="00EB681B"/>
    <w:rsid w:val="00EC4FAD"/>
    <w:rsid w:val="00ED3EE7"/>
    <w:rsid w:val="00EE3CFA"/>
    <w:rsid w:val="00EE69E4"/>
    <w:rsid w:val="00EF2A7F"/>
    <w:rsid w:val="00EF7E90"/>
    <w:rsid w:val="00F002B6"/>
    <w:rsid w:val="00F10AFE"/>
    <w:rsid w:val="00F11AA8"/>
    <w:rsid w:val="00F12A16"/>
    <w:rsid w:val="00F133C0"/>
    <w:rsid w:val="00F15C6C"/>
    <w:rsid w:val="00F16912"/>
    <w:rsid w:val="00F17173"/>
    <w:rsid w:val="00F224DC"/>
    <w:rsid w:val="00F2687F"/>
    <w:rsid w:val="00F27F29"/>
    <w:rsid w:val="00F31FB0"/>
    <w:rsid w:val="00F32D54"/>
    <w:rsid w:val="00F36C54"/>
    <w:rsid w:val="00F418EA"/>
    <w:rsid w:val="00F41A29"/>
    <w:rsid w:val="00F44C1C"/>
    <w:rsid w:val="00F518DF"/>
    <w:rsid w:val="00F544DB"/>
    <w:rsid w:val="00F54AC9"/>
    <w:rsid w:val="00F6502E"/>
    <w:rsid w:val="00F65308"/>
    <w:rsid w:val="00F65663"/>
    <w:rsid w:val="00F7506E"/>
    <w:rsid w:val="00F756C0"/>
    <w:rsid w:val="00F75A40"/>
    <w:rsid w:val="00F75AFB"/>
    <w:rsid w:val="00F77637"/>
    <w:rsid w:val="00F81F90"/>
    <w:rsid w:val="00F8435D"/>
    <w:rsid w:val="00F87DD0"/>
    <w:rsid w:val="00F87E5F"/>
    <w:rsid w:val="00F93360"/>
    <w:rsid w:val="00F93FE4"/>
    <w:rsid w:val="00F969AD"/>
    <w:rsid w:val="00F97E4E"/>
    <w:rsid w:val="00FA217B"/>
    <w:rsid w:val="00FA2A75"/>
    <w:rsid w:val="00FB0BC5"/>
    <w:rsid w:val="00FB0BCC"/>
    <w:rsid w:val="00FB43C5"/>
    <w:rsid w:val="00FC0FE5"/>
    <w:rsid w:val="00FC146B"/>
    <w:rsid w:val="00FD1ABC"/>
    <w:rsid w:val="00FD1FF3"/>
    <w:rsid w:val="00FD5FA9"/>
    <w:rsid w:val="00FD64E2"/>
    <w:rsid w:val="00FD7DDF"/>
    <w:rsid w:val="00FE4C92"/>
    <w:rsid w:val="00FF0FAA"/>
    <w:rsid w:val="00FF4396"/>
    <w:rsid w:val="00FF7E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6C29C19"/>
  <w15:docId w15:val="{60385FB9-28FB-4385-9B0A-58E653F8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nl-NL"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C0"/>
    <w:pPr>
      <w:overflowPunct w:val="0"/>
      <w:autoSpaceDE w:val="0"/>
      <w:autoSpaceDN w:val="0"/>
      <w:adjustRightInd w:val="0"/>
      <w:spacing w:line="288" w:lineRule="auto"/>
      <w:jc w:val="both"/>
      <w:textAlignment w:val="baseline"/>
    </w:pPr>
    <w:rPr>
      <w:szCs w:val="20"/>
      <w:lang w:eastAsia="en-US" w:bidi="ar-SA"/>
    </w:rPr>
  </w:style>
  <w:style w:type="paragraph" w:styleId="Heading1">
    <w:name w:val="heading 1"/>
    <w:basedOn w:val="Normal"/>
    <w:next w:val="Normal"/>
    <w:link w:val="Heading1Char"/>
    <w:qFormat/>
    <w:rsid w:val="00A316C0"/>
    <w:pPr>
      <w:numPr>
        <w:numId w:val="1"/>
      </w:numPr>
      <w:ind w:left="720" w:hanging="720"/>
      <w:outlineLvl w:val="0"/>
    </w:pPr>
    <w:rPr>
      <w:kern w:val="28"/>
    </w:rPr>
  </w:style>
  <w:style w:type="paragraph" w:styleId="Heading2">
    <w:name w:val="heading 2"/>
    <w:basedOn w:val="Normal"/>
    <w:next w:val="Normal"/>
    <w:link w:val="Heading2Char"/>
    <w:qFormat/>
    <w:rsid w:val="00A316C0"/>
    <w:pPr>
      <w:numPr>
        <w:ilvl w:val="1"/>
        <w:numId w:val="1"/>
      </w:numPr>
      <w:ind w:left="720" w:hanging="720"/>
      <w:outlineLvl w:val="1"/>
    </w:pPr>
  </w:style>
  <w:style w:type="paragraph" w:styleId="Heading3">
    <w:name w:val="heading 3"/>
    <w:basedOn w:val="Normal"/>
    <w:next w:val="Normal"/>
    <w:link w:val="Heading3Char"/>
    <w:qFormat/>
    <w:rsid w:val="00A316C0"/>
    <w:pPr>
      <w:numPr>
        <w:ilvl w:val="2"/>
        <w:numId w:val="1"/>
      </w:numPr>
      <w:ind w:left="720" w:hanging="720"/>
      <w:outlineLvl w:val="2"/>
    </w:pPr>
  </w:style>
  <w:style w:type="paragraph" w:styleId="Heading4">
    <w:name w:val="heading 4"/>
    <w:basedOn w:val="Normal"/>
    <w:next w:val="Normal"/>
    <w:link w:val="Heading4Char"/>
    <w:qFormat/>
    <w:rsid w:val="00A316C0"/>
    <w:pPr>
      <w:numPr>
        <w:ilvl w:val="3"/>
        <w:numId w:val="1"/>
      </w:numPr>
      <w:ind w:left="720" w:hanging="720"/>
      <w:outlineLvl w:val="3"/>
    </w:pPr>
  </w:style>
  <w:style w:type="paragraph" w:styleId="Heading5">
    <w:name w:val="heading 5"/>
    <w:basedOn w:val="Normal"/>
    <w:next w:val="Normal"/>
    <w:link w:val="Heading5Char"/>
    <w:qFormat/>
    <w:rsid w:val="00A316C0"/>
    <w:pPr>
      <w:numPr>
        <w:ilvl w:val="4"/>
        <w:numId w:val="1"/>
      </w:numPr>
      <w:ind w:left="720" w:hanging="720"/>
      <w:outlineLvl w:val="4"/>
    </w:pPr>
  </w:style>
  <w:style w:type="paragraph" w:styleId="Heading6">
    <w:name w:val="heading 6"/>
    <w:basedOn w:val="Normal"/>
    <w:next w:val="Normal"/>
    <w:link w:val="Heading6Char"/>
    <w:qFormat/>
    <w:rsid w:val="00A316C0"/>
    <w:pPr>
      <w:numPr>
        <w:ilvl w:val="5"/>
        <w:numId w:val="1"/>
      </w:numPr>
      <w:ind w:left="720" w:hanging="720"/>
      <w:outlineLvl w:val="5"/>
    </w:pPr>
  </w:style>
  <w:style w:type="paragraph" w:styleId="Heading7">
    <w:name w:val="heading 7"/>
    <w:basedOn w:val="Normal"/>
    <w:next w:val="Normal"/>
    <w:link w:val="Heading7Char"/>
    <w:qFormat/>
    <w:rsid w:val="00A316C0"/>
    <w:pPr>
      <w:numPr>
        <w:ilvl w:val="6"/>
        <w:numId w:val="1"/>
      </w:numPr>
      <w:ind w:left="720" w:hanging="720"/>
      <w:outlineLvl w:val="6"/>
    </w:pPr>
  </w:style>
  <w:style w:type="paragraph" w:styleId="Heading8">
    <w:name w:val="heading 8"/>
    <w:basedOn w:val="Normal"/>
    <w:next w:val="Normal"/>
    <w:link w:val="Heading8Char"/>
    <w:qFormat/>
    <w:rsid w:val="00A316C0"/>
    <w:pPr>
      <w:numPr>
        <w:ilvl w:val="7"/>
        <w:numId w:val="1"/>
      </w:numPr>
      <w:ind w:left="720" w:hanging="720"/>
      <w:outlineLvl w:val="7"/>
    </w:pPr>
  </w:style>
  <w:style w:type="paragraph" w:styleId="Heading9">
    <w:name w:val="heading 9"/>
    <w:basedOn w:val="Normal"/>
    <w:next w:val="Normal"/>
    <w:link w:val="Heading9Char"/>
    <w:qFormat/>
    <w:rsid w:val="00A316C0"/>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en-US" w:bidi="ar-SA"/>
    </w:rPr>
  </w:style>
  <w:style w:type="character" w:customStyle="1" w:styleId="Heading2Char">
    <w:name w:val="Heading 2 Char"/>
    <w:basedOn w:val="DefaultParagraphFont"/>
    <w:link w:val="Heading2"/>
    <w:locked/>
    <w:rsid w:val="00CB1536"/>
    <w:rPr>
      <w:szCs w:val="20"/>
      <w:lang w:eastAsia="en-US" w:bidi="ar-SA"/>
    </w:rPr>
  </w:style>
  <w:style w:type="character" w:customStyle="1" w:styleId="Heading3Char">
    <w:name w:val="Heading 3 Char"/>
    <w:basedOn w:val="DefaultParagraphFont"/>
    <w:link w:val="Heading3"/>
    <w:locked/>
    <w:rsid w:val="00CB1536"/>
    <w:rPr>
      <w:szCs w:val="20"/>
      <w:lang w:eastAsia="en-US" w:bidi="ar-SA"/>
    </w:rPr>
  </w:style>
  <w:style w:type="character" w:customStyle="1" w:styleId="Heading4Char">
    <w:name w:val="Heading 4 Char"/>
    <w:basedOn w:val="DefaultParagraphFont"/>
    <w:link w:val="Heading4"/>
    <w:locked/>
    <w:rsid w:val="00CB1536"/>
    <w:rPr>
      <w:szCs w:val="20"/>
      <w:lang w:eastAsia="en-US" w:bidi="ar-SA"/>
    </w:rPr>
  </w:style>
  <w:style w:type="character" w:customStyle="1" w:styleId="Heading5Char">
    <w:name w:val="Heading 5 Char"/>
    <w:basedOn w:val="DefaultParagraphFont"/>
    <w:link w:val="Heading5"/>
    <w:locked/>
    <w:rsid w:val="00CB1536"/>
    <w:rPr>
      <w:szCs w:val="20"/>
      <w:lang w:eastAsia="en-US" w:bidi="ar-SA"/>
    </w:rPr>
  </w:style>
  <w:style w:type="character" w:customStyle="1" w:styleId="Heading6Char">
    <w:name w:val="Heading 6 Char"/>
    <w:basedOn w:val="DefaultParagraphFont"/>
    <w:link w:val="Heading6"/>
    <w:locked/>
    <w:rsid w:val="00CB1536"/>
    <w:rPr>
      <w:szCs w:val="20"/>
      <w:lang w:eastAsia="en-US" w:bidi="ar-SA"/>
    </w:rPr>
  </w:style>
  <w:style w:type="character" w:customStyle="1" w:styleId="Heading7Char">
    <w:name w:val="Heading 7 Char"/>
    <w:basedOn w:val="DefaultParagraphFont"/>
    <w:link w:val="Heading7"/>
    <w:locked/>
    <w:rsid w:val="00CB1536"/>
    <w:rPr>
      <w:szCs w:val="20"/>
      <w:lang w:eastAsia="en-US" w:bidi="ar-SA"/>
    </w:rPr>
  </w:style>
  <w:style w:type="character" w:customStyle="1" w:styleId="Heading8Char">
    <w:name w:val="Heading 8 Char"/>
    <w:basedOn w:val="DefaultParagraphFont"/>
    <w:link w:val="Heading8"/>
    <w:locked/>
    <w:rsid w:val="00CB1536"/>
    <w:rPr>
      <w:szCs w:val="20"/>
      <w:lang w:eastAsia="en-US" w:bidi="ar-SA"/>
    </w:rPr>
  </w:style>
  <w:style w:type="character" w:customStyle="1" w:styleId="Heading9Char">
    <w:name w:val="Heading 9 Char"/>
    <w:basedOn w:val="DefaultParagraphFont"/>
    <w:link w:val="Heading9"/>
    <w:locked/>
    <w:rsid w:val="00CB1536"/>
    <w:rPr>
      <w:szCs w:val="20"/>
      <w:lang w:eastAsia="en-US" w:bidi="ar-SA"/>
    </w:rPr>
  </w:style>
  <w:style w:type="paragraph" w:styleId="Footer">
    <w:name w:val="footer"/>
    <w:basedOn w:val="Normal"/>
    <w:link w:val="FooterChar"/>
    <w:rsid w:val="00A316C0"/>
  </w:style>
  <w:style w:type="character" w:customStyle="1" w:styleId="FooterChar">
    <w:name w:val="Footer Char"/>
    <w:basedOn w:val="DefaultParagraphFont"/>
    <w:link w:val="Footer"/>
    <w:locked/>
    <w:rsid w:val="00CB1536"/>
    <w:rPr>
      <w:szCs w:val="20"/>
      <w:lang w:eastAsia="en-US" w:bidi="ar-SA"/>
    </w:rPr>
  </w:style>
  <w:style w:type="paragraph" w:styleId="FootnoteText">
    <w:name w:val="footnote text"/>
    <w:basedOn w:val="Normal"/>
    <w:link w:val="FootnoteTextChar"/>
    <w:rsid w:val="00A316C0"/>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en-US" w:bidi="ar-SA"/>
    </w:rPr>
  </w:style>
  <w:style w:type="paragraph" w:styleId="Header">
    <w:name w:val="header"/>
    <w:basedOn w:val="Normal"/>
    <w:link w:val="HeaderChar"/>
    <w:rsid w:val="00A316C0"/>
  </w:style>
  <w:style w:type="character" w:customStyle="1" w:styleId="HeaderChar">
    <w:name w:val="Header Char"/>
    <w:basedOn w:val="DefaultParagraphFont"/>
    <w:link w:val="Header"/>
    <w:locked/>
    <w:rsid w:val="00CB1536"/>
    <w:rPr>
      <w:szCs w:val="20"/>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A316C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B5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F3C"/>
    <w:rPr>
      <w:rFonts w:ascii="Tahoma" w:hAnsi="Tahoma" w:cs="Tahoma"/>
      <w:sz w:val="16"/>
      <w:szCs w:val="16"/>
      <w:lang w:eastAsia="en-US" w:bidi="ar-SA"/>
    </w:rPr>
  </w:style>
  <w:style w:type="paragraph" w:styleId="ListParagraph">
    <w:name w:val="List Paragraph"/>
    <w:basedOn w:val="Normal"/>
    <w:uiPriority w:val="34"/>
    <w:qFormat/>
    <w:rsid w:val="00941EB6"/>
    <w:pPr>
      <w:ind w:left="720"/>
      <w:contextualSpacing/>
    </w:pPr>
  </w:style>
  <w:style w:type="table" w:styleId="TableGrid">
    <w:name w:val="Table Grid"/>
    <w:basedOn w:val="TableNormal"/>
    <w:locked/>
    <w:rsid w:val="001E4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24579"/>
    <w:rPr>
      <w:sz w:val="16"/>
      <w:szCs w:val="16"/>
    </w:rPr>
  </w:style>
  <w:style w:type="paragraph" w:styleId="CommentText">
    <w:name w:val="annotation text"/>
    <w:basedOn w:val="Normal"/>
    <w:link w:val="CommentTextChar"/>
    <w:uiPriority w:val="99"/>
    <w:semiHidden/>
    <w:unhideWhenUsed/>
    <w:rsid w:val="00A24579"/>
    <w:pPr>
      <w:pBdr>
        <w:top w:val="nil"/>
        <w:left w:val="nil"/>
        <w:bottom w:val="nil"/>
        <w:right w:val="nil"/>
        <w:between w:val="nil"/>
        <w:bar w:val="nil"/>
      </w:pBdr>
      <w:overflowPunct/>
      <w:autoSpaceDE/>
      <w:autoSpaceDN/>
      <w:adjustRightInd/>
      <w:spacing w:line="240" w:lineRule="auto"/>
      <w:jc w:val="left"/>
      <w:textAlignment w:val="auto"/>
    </w:pPr>
    <w:rPr>
      <w:rFonts w:eastAsia="Arial Unicode MS"/>
      <w:sz w:val="20"/>
      <w:bdr w:val="nil"/>
    </w:rPr>
  </w:style>
  <w:style w:type="character" w:customStyle="1" w:styleId="CommentTextChar">
    <w:name w:val="Comment Text Char"/>
    <w:basedOn w:val="DefaultParagraphFont"/>
    <w:link w:val="CommentText"/>
    <w:uiPriority w:val="99"/>
    <w:semiHidden/>
    <w:rsid w:val="00A24579"/>
    <w:rPr>
      <w:rFonts w:eastAsia="Arial Unicode MS"/>
      <w:sz w:val="20"/>
      <w:szCs w:val="20"/>
      <w:bdr w:val="nil"/>
      <w:lang w:val="nl-NL" w:eastAsia="en-US" w:bidi="ar-SA"/>
    </w:rPr>
  </w:style>
  <w:style w:type="numbering" w:customStyle="1" w:styleId="ImportedStyle1">
    <w:name w:val="Imported Style 1"/>
    <w:rsid w:val="000319B2"/>
    <w:pPr>
      <w:numPr>
        <w:numId w:val="3"/>
      </w:numPr>
    </w:pPr>
  </w:style>
  <w:style w:type="character" w:customStyle="1" w:styleId="Hyperlink1">
    <w:name w:val="Hyperlink.1"/>
    <w:basedOn w:val="DefaultParagraphFont"/>
    <w:rsid w:val="00EB1A6A"/>
    <w:rPr>
      <w:color w:val="0000FF"/>
      <w:u w:val="single" w:color="0000FF"/>
      <w:lang w:val="nl-NL"/>
      <w14:textOutline w14:w="0" w14:cap="rnd" w14:cmpd="sng" w14:algn="ctr">
        <w14:noFill/>
        <w14:prstDash w14:val="solid"/>
        <w14:bevel/>
      </w14:textOutline>
    </w:rPr>
  </w:style>
  <w:style w:type="paragraph" w:customStyle="1" w:styleId="Body">
    <w:name w:val="Body"/>
    <w:rsid w:val="00EB1A6A"/>
    <w:pPr>
      <w:pBdr>
        <w:top w:val="nil"/>
        <w:left w:val="nil"/>
        <w:bottom w:val="nil"/>
        <w:right w:val="nil"/>
        <w:between w:val="nil"/>
        <w:bar w:val="nil"/>
      </w:pBdr>
      <w:spacing w:line="288" w:lineRule="auto"/>
      <w:jc w:val="both"/>
    </w:pPr>
    <w:rPr>
      <w:color w:val="000000"/>
      <w:u w:color="000000"/>
      <w:bdr w:val="nil"/>
      <w:lang w:bidi="ar-SA"/>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6D0BB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pPr>
    <w:rPr>
      <w:rFonts w:eastAsia="Times New Roman"/>
      <w:b/>
      <w:bCs/>
      <w:bdr w:val="none" w:sz="0" w:space="0" w:color="auto"/>
    </w:rPr>
  </w:style>
  <w:style w:type="character" w:customStyle="1" w:styleId="CommentSubjectChar">
    <w:name w:val="Comment Subject Char"/>
    <w:basedOn w:val="CommentTextChar"/>
    <w:link w:val="CommentSubject"/>
    <w:uiPriority w:val="99"/>
    <w:semiHidden/>
    <w:rsid w:val="006D0BBE"/>
    <w:rPr>
      <w:rFonts w:eastAsia="Arial Unicode MS"/>
      <w:b/>
      <w:bCs/>
      <w:sz w:val="20"/>
      <w:szCs w:val="20"/>
      <w:bdr w:val="nil"/>
      <w:lang w:val="nl-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38348018">
      <w:bodyDiv w:val="1"/>
      <w:marLeft w:val="0"/>
      <w:marRight w:val="0"/>
      <w:marTop w:val="0"/>
      <w:marBottom w:val="0"/>
      <w:divBdr>
        <w:top w:val="none" w:sz="0" w:space="0" w:color="auto"/>
        <w:left w:val="none" w:sz="0" w:space="0" w:color="auto"/>
        <w:bottom w:val="none" w:sz="0" w:space="0" w:color="auto"/>
        <w:right w:val="none" w:sz="0" w:space="0" w:color="auto"/>
      </w:divBdr>
    </w:div>
    <w:div w:id="1577087756">
      <w:bodyDiv w:val="1"/>
      <w:marLeft w:val="0"/>
      <w:marRight w:val="0"/>
      <w:marTop w:val="0"/>
      <w:marBottom w:val="0"/>
      <w:divBdr>
        <w:top w:val="none" w:sz="0" w:space="0" w:color="auto"/>
        <w:left w:val="none" w:sz="0" w:space="0" w:color="auto"/>
        <w:bottom w:val="none" w:sz="0" w:space="0" w:color="auto"/>
        <w:right w:val="none" w:sz="0" w:space="0" w:color="auto"/>
      </w:divBdr>
      <w:divsChild>
        <w:div w:id="1488745361">
          <w:marLeft w:val="0"/>
          <w:marRight w:val="0"/>
          <w:marTop w:val="0"/>
          <w:marBottom w:val="0"/>
          <w:divBdr>
            <w:top w:val="none" w:sz="0" w:space="0" w:color="auto"/>
            <w:left w:val="none" w:sz="0" w:space="0" w:color="auto"/>
            <w:bottom w:val="none" w:sz="0" w:space="0" w:color="auto"/>
            <w:right w:val="none" w:sz="0" w:space="0" w:color="auto"/>
          </w:divBdr>
          <w:divsChild>
            <w:div w:id="1636057505">
              <w:marLeft w:val="0"/>
              <w:marRight w:val="0"/>
              <w:marTop w:val="0"/>
              <w:marBottom w:val="0"/>
              <w:divBdr>
                <w:top w:val="none" w:sz="0" w:space="0" w:color="auto"/>
                <w:left w:val="none" w:sz="0" w:space="0" w:color="auto"/>
                <w:bottom w:val="none" w:sz="0" w:space="0" w:color="auto"/>
                <w:right w:val="none" w:sz="0" w:space="0" w:color="auto"/>
              </w:divBdr>
            </w:div>
          </w:divsChild>
        </w:div>
        <w:div w:id="619459500">
          <w:marLeft w:val="0"/>
          <w:marRight w:val="0"/>
          <w:marTop w:val="0"/>
          <w:marBottom w:val="0"/>
          <w:divBdr>
            <w:top w:val="none" w:sz="0" w:space="0" w:color="auto"/>
            <w:left w:val="none" w:sz="0" w:space="0" w:color="auto"/>
            <w:bottom w:val="none" w:sz="0" w:space="0" w:color="auto"/>
            <w:right w:val="none" w:sz="0" w:space="0" w:color="auto"/>
          </w:divBdr>
        </w:div>
      </w:divsChild>
    </w:div>
    <w:div w:id="1979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NL/TXT/?uri=uriserv:OJ.C_.2018.440.01.0051.01.NLD&amp;toc=OJ:C:2018:440:TOC" TargetMode="External"/><Relationship Id="rId13" Type="http://schemas.openxmlformats.org/officeDocument/2006/relationships/hyperlink" Target="https://www.eesc.europa.eu/nl/our-work/opinions-information-reports/opinions/regulation-european-data-governance" TargetMode="External"/><Relationship Id="rId3" Type="http://schemas.openxmlformats.org/officeDocument/2006/relationships/hyperlink" Target="https://www.eesc.europa.eu/nl/our-work/opinions-information-reports/opinions/digital-services-act" TargetMode="External"/><Relationship Id="rId7" Type="http://schemas.openxmlformats.org/officeDocument/2006/relationships/hyperlink" Target="https://eur-lex.europa.eu/legal-content/NL/TXT/?uri=uriserv:OJ.C_.2018.440.01.0001.01.NLD&amp;toc=OJ:C:2018:440:TOC" TargetMode="External"/><Relationship Id="rId12" Type="http://schemas.openxmlformats.org/officeDocument/2006/relationships/hyperlink" Target="https://www.eesc.europa.eu/nl/our-work/opinions-information-reports/opinions/regulation-artificial-intelligence" TargetMode="External"/><Relationship Id="rId2" Type="http://schemas.openxmlformats.org/officeDocument/2006/relationships/hyperlink" Target="https://www.eesc.europa.eu/nl/our-work/opinions-information-reports/opinions/regulation-european-data-governance" TargetMode="External"/><Relationship Id="rId16" Type="http://schemas.openxmlformats.org/officeDocument/2006/relationships/hyperlink" Target="https://eur-lex.europa.eu/legal-content/NL/ALL/?uri=CELEX:52018AE1556" TargetMode="External"/><Relationship Id="rId1" Type="http://schemas.openxmlformats.org/officeDocument/2006/relationships/hyperlink" Target="https://www.eesc.europa.eu/en/news-media/news/infosheet-boosting-use-artificial-intelligence-europes-micro-small-and-medium-sized-enterprises-msmes" TargetMode="External"/><Relationship Id="rId6" Type="http://schemas.openxmlformats.org/officeDocument/2006/relationships/hyperlink" Target="https://eur-lex.europa.eu/legal-content/NL/TXT/?uri=CELEX:52016IE5369" TargetMode="External"/><Relationship Id="rId11" Type="http://schemas.openxmlformats.org/officeDocument/2006/relationships/hyperlink" Target="https://eur-lex.europa.eu/legal-content/NL/TXT/?uri=CELEX:52020AE1110&amp;qid=1612633506884" TargetMode="External"/><Relationship Id="rId5" Type="http://schemas.openxmlformats.org/officeDocument/2006/relationships/hyperlink" Target="https://www.eesc.europa.eu/nl/our-work/opinions-information-reports/opinions/digital-services-act" TargetMode="External"/><Relationship Id="rId15" Type="http://schemas.openxmlformats.org/officeDocument/2006/relationships/hyperlink" Target="https://www.eesc.europa.eu/nl/our-work/opinions-information-reports/opinions/digital-services-act" TargetMode="External"/><Relationship Id="rId10" Type="http://schemas.openxmlformats.org/officeDocument/2006/relationships/hyperlink" Target="https://eur-lex.europa.eu/legal-content/NL/TXT/?uri=CELEX:52019AE1830" TargetMode="External"/><Relationship Id="rId4" Type="http://schemas.openxmlformats.org/officeDocument/2006/relationships/hyperlink" Target="https://www.eesc.europa.eu/nl/our-work/opinions-information-reports/opinions/regulation-artificial-intelligence" TargetMode="External"/><Relationship Id="rId9" Type="http://schemas.openxmlformats.org/officeDocument/2006/relationships/hyperlink" Target="https://eur-lex.europa.eu/legal-content/NL/ALL/?uri=CELEX:52018AE5386" TargetMode="External"/><Relationship Id="rId14" Type="http://schemas.openxmlformats.org/officeDocument/2006/relationships/hyperlink" Target="https://www.eesc.europa.eu/nl/our-work/opinions-information-reports/opinions/regulation-european-data-govern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V63NAVDT5PV3-197900780-6320</_dlc_DocId>
    <_dlc_DocIdUrl xmlns="01cfe264-354f-4f3f-acd0-cf26eb309336">
      <Url>http://dm2016/eesc/2021/_layouts/15/DocIdRedir.aspx?ID=V63NAVDT5PV3-197900780-6320</Url>
      <Description>V63NAVDT5PV3-197900780-6320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2021-07-12T12:00:00+00:00</ProductionDate>
    <DocumentNumber xmlns="1bc4b14f-a4b5-43b1-8863-417d54b6b72f">2564</DocumentNumber>
    <FicheYear xmlns="01cfe264-354f-4f3f-acd0-cf26eb309336" xsi:nil="true"/>
    <DocumentVersion xmlns="01cfe264-354f-4f3f-acd0-cf26eb309336">0</DocumentVersion>
    <DossierNumber xmlns="01cfe264-354f-4f3f-acd0-cf26eb309336">942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Rapporteur xmlns="01cfe264-354f-4f3f-acd0-cf26eb309336">GERSTEIN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8071</FicheNumber>
    <OriginalSender xmlns="01cfe264-354f-4f3f-acd0-cf26eb309336">
      <UserInfo>
        <DisplayName>Buts Christel</DisplayName>
        <AccountId>1935</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bc4b14f-a4b5-43b1-8863-417d54b6b72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9690440AC106F944B6F22BE813F1E9BC" ma:contentTypeVersion="5" ma:contentTypeDescription="Defines the documents for Document Manager V2" ma:contentTypeScope="" ma:versionID="2c1675cbfad389376508666cec3e5d68">
  <xsd:schema xmlns:xsd="http://www.w3.org/2001/XMLSchema" xmlns:xs="http://www.w3.org/2001/XMLSchema" xmlns:p="http://schemas.microsoft.com/office/2006/metadata/properties" xmlns:ns2="01cfe264-354f-4f3f-acd0-cf26eb309336" xmlns:ns3="http://schemas.microsoft.com/sharepoint/v3/fields" xmlns:ns4="1bc4b14f-a4b5-43b1-8863-417d54b6b72f" targetNamespace="http://schemas.microsoft.com/office/2006/metadata/properties" ma:root="true" ma:fieldsID="6cc54c2c6583edefe17763e92adeb4e6" ns2:_="" ns3:_="" ns4:_="">
    <xsd:import namespace="01cfe264-354f-4f3f-acd0-cf26eb309336"/>
    <xsd:import namespace="http://schemas.microsoft.com/sharepoint/v3/fields"/>
    <xsd:import namespace="1bc4b14f-a4b5-43b1-8863-417d54b6b72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c4b14f-a4b5-43b1-8863-417d54b6b72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02BCF8-47E0-40C7-95FA-96CEB491E3EB}">
  <ds:schemaRefs>
    <ds:schemaRef ds:uri="http://schemas.microsoft.com/office/infopath/2007/PartnerControls"/>
    <ds:schemaRef ds:uri="http://purl.org/dc/elements/1.1/"/>
    <ds:schemaRef ds:uri="http://schemas.microsoft.com/office/2006/metadata/properties"/>
    <ds:schemaRef ds:uri="1bc4b14f-a4b5-43b1-8863-417d54b6b72f"/>
    <ds:schemaRef ds:uri="http://purl.org/dc/terms/"/>
    <ds:schemaRef ds:uri="http://schemas.openxmlformats.org/package/2006/metadata/core-properties"/>
    <ds:schemaRef ds:uri="http://schemas.microsoft.com/sharepoint/v3/fields"/>
    <ds:schemaRef ds:uri="http://schemas.microsoft.com/office/2006/documentManagement/types"/>
    <ds:schemaRef ds:uri="01cfe264-354f-4f3f-acd0-cf26eb309336"/>
    <ds:schemaRef ds:uri="http://www.w3.org/XML/1998/namespace"/>
    <ds:schemaRef ds:uri="http://purl.org/dc/dcmitype/"/>
  </ds:schemaRefs>
</ds:datastoreItem>
</file>

<file path=customXml/itemProps2.xml><?xml version="1.0" encoding="utf-8"?>
<ds:datastoreItem xmlns:ds="http://schemas.openxmlformats.org/officeDocument/2006/customXml" ds:itemID="{5EE35B3F-D7DD-4308-906E-8062612285FE}">
  <ds:schemaRefs>
    <ds:schemaRef ds:uri="http://schemas.microsoft.com/sharepoint/v3/contenttype/forms"/>
  </ds:schemaRefs>
</ds:datastoreItem>
</file>

<file path=customXml/itemProps3.xml><?xml version="1.0" encoding="utf-8"?>
<ds:datastoreItem xmlns:ds="http://schemas.openxmlformats.org/officeDocument/2006/customXml" ds:itemID="{79800369-7C56-4A95-A33D-E0A1964273C9}">
  <ds:schemaRefs>
    <ds:schemaRef ds:uri="http://schemas.microsoft.com/sharepoint/events"/>
  </ds:schemaRefs>
</ds:datastoreItem>
</file>

<file path=customXml/itemProps4.xml><?xml version="1.0" encoding="utf-8"?>
<ds:datastoreItem xmlns:ds="http://schemas.openxmlformats.org/officeDocument/2006/customXml" ds:itemID="{283DB164-D601-4F43-BFEB-D77E87EAE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cfe264-354f-4f3f-acd0-cf26eb309336"/>
    <ds:schemaRef ds:uri="http://schemas.microsoft.com/sharepoint/v3/fields"/>
    <ds:schemaRef ds:uri="1bc4b14f-a4b5-43b1-8863-417d54b6b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2900</Words>
  <Characters>16536</Characters>
  <Application>Microsoft Office Word</Application>
  <DocSecurity>0</DocSecurity>
  <Lines>137</Lines>
  <Paragraphs>38</Paragraphs>
  <ScaleCrop>false</ScaleCrop>
  <HeadingPairs>
    <vt:vector size="6" baseType="variant">
      <vt:variant>
        <vt:lpstr>Title</vt:lpstr>
      </vt:variant>
      <vt:variant>
        <vt:i4>1</vt:i4>
      </vt:variant>
      <vt:variant>
        <vt:lpstr>Titel</vt:lpstr>
      </vt:variant>
      <vt:variant>
        <vt:i4>1</vt:i4>
      </vt:variant>
      <vt:variant>
        <vt:lpstr>Titlu</vt:lpstr>
      </vt:variant>
      <vt:variant>
        <vt:i4>1</vt:i4>
      </vt:variant>
    </vt:vector>
  </HeadingPairs>
  <TitlesOfParts>
    <vt:vector size="3" baseType="lpstr">
      <vt:lpstr>Economic and social opportunities of digitalisation</vt:lpstr>
      <vt:lpstr>NEW EESC MODEL  - APA</vt:lpstr>
      <vt:lpstr>European Agenda on Migration: Second implementation package - A permanent crisis relocation mechanism under the Dublin system</vt:lpstr>
    </vt:vector>
  </TitlesOfParts>
  <Company>CESE-CdR</Company>
  <LinksUpToDate>false</LinksUpToDate>
  <CharactersWithSpaces>19398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Economische en sociale kansen van de digitalisering</dc:title>
  <dc:subject>AC</dc:subject>
  <dc:creator>Tomas Vocasek</dc:creator>
  <cp:keywords>EESC-2021-02564-00-00-AC-TRA-EN</cp:keywords>
  <dc:description>Rapporteur: GERSTEIN - Original language: EN - Date of document: 12/07/2021 - Date of meeting:  - External documents:  - Administrator: MME TETU Alice</dc:description>
  <cp:lastModifiedBy>Nieddu Emma</cp:lastModifiedBy>
  <cp:revision>9</cp:revision>
  <cp:lastPrinted>2016-01-26T08:31:00Z</cp:lastPrinted>
  <dcterms:created xsi:type="dcterms:W3CDTF">2021-07-09T08:56:00Z</dcterms:created>
  <dcterms:modified xsi:type="dcterms:W3CDTF">2021-07-28T15:12:00Z</dcterms:modified>
  <cp:category>INT/942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09/07/2021, 15/06/2021, 01/06/2021, 04/11/2015, 27/10/2015, 19/10/2015, 09/10/2015, 05/10/2015, 05/10/2015, 26/08/2015, 26/08/2015, 25/08/2015</vt:lpwstr>
  </property>
  <property fmtid="{D5CDD505-2E9C-101B-9397-08002B2CF9AE}" pid="4" name="Pref_Time">
    <vt:lpwstr>10:56:19, 15:36:01, 09:56:26, 12/10/07, 14:44:02, 16/04/16, 14:09:30, 16:24:55, 16:04:02, 08:56:14, 07:27:56, 17:31:53</vt:lpwstr>
  </property>
  <property fmtid="{D5CDD505-2E9C-101B-9397-08002B2CF9AE}" pid="5" name="Pref_User">
    <vt:lpwstr>hnic, hnic, enied, ssex, enied, amett, tvoc, mreg, mreg, amett, enied, ssex</vt:lpwstr>
  </property>
  <property fmtid="{D5CDD505-2E9C-101B-9397-08002B2CF9AE}" pid="6" name="Pref_FileName">
    <vt:lpwstr>EESC-2021-02564-00-00-AC-ORI.docx, EESC-2021-02564-00-00-AS-TRA-EN-CRR.docx, EESC-2021-02564-00-00-PA-ORI.docx, EESC-2015-05408-00-00-PA-CRR-EN.docx, EESC-2015-05408-00-01-APA-ORI.docx, EESC-2015-04319-00-00-TCD-ORI.docx, EESC-2015-04319-00-01-APA-ORI.doc</vt:lpwstr>
  </property>
  <property fmtid="{D5CDD505-2E9C-101B-9397-08002B2CF9AE}" pid="7" name="ContentTypeId">
    <vt:lpwstr>0x010100EA97B91038054C99906057A708A1480A009690440AC106F944B6F22BE813F1E9BC</vt:lpwstr>
  </property>
  <property fmtid="{D5CDD505-2E9C-101B-9397-08002B2CF9AE}" pid="8" name="_dlc_DocIdItemGuid">
    <vt:lpwstr>760db422-a666-43f8-9a70-071ca393b58a</vt:lpwstr>
  </property>
  <property fmtid="{D5CDD505-2E9C-101B-9397-08002B2CF9AE}" pid="9" name="AvailableTranslations">
    <vt:lpwstr>40;#SV|c2ed69e7-a339-43d7-8f22-d93680a92aa0;#11;#DE|f6b31e5a-26fa-4935-b661-318e46daf27e;#17;#NL|55c6556c-b4f4-441d-9acf-c498d4f838bd;#16;#IT|0774613c-01ed-4e5d-a25d-11d2388de825;#58;#MT|7df99101-6854-4a26-b53a-b88c0da02c26;#18;#LV|46f7e311-5d9f-4663-b433-18aeccb7ace7;#9;#EN|f2175f21-25d7-44a3-96da-d6a61b075e1b;#25;#CS|72f9705b-0217-4fd3-bea2-cbc7ed80e26e;#14;#ET|ff6c3f4c-b02c-4c3c-ab07-2c37995a7a0a;#28;#ES|e7a6b05b-ae16-40c8-add9-68b64b03aeba;#12;#DA|5d49c027-8956-412b-aa16-e85a0f96ad0e;#66;#GA|762d2456-c427-4ecb-b312-af3dad8e258c;#38;#HR|2f555653-ed1a-4fe6-8362-9082d95989e5;#39;#SL|98a412ae-eb01-49e9-ae3d-585a81724cfc;#45;#RO|feb747a2-64cd-4299-af12-4833ddc30497;#35;#PL|1e03da61-4678-4e07-b136-b5024ca9197b;#4;#FR|d2afafd3-4c81-4f60-8f52-ee33f2f54ff3;#13;#PT|50ccc04a-eadd-42ae-a0cb-acaf45f812ba;#21;#HU|6b229040-c589-4408-b4c1-4285663d20a8;#19;#SK|46d9fce0-ef79-4f71-b89b-cd6aa82426b8;#41;#BG|1a1b3951-7821-4e6a-85f5-5673fc08bd2c;#15;#LT|a7ff5ce7-6123-4f68-865a-a57c31810414;#42;#FI|87606a43-d45f-42d6-b8c9-e1a3457db5b7;#37;#EL|6d4f4d51-af9b-4650-94b4-4276bee85c91</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2564</vt:i4>
  </property>
  <property fmtid="{D5CDD505-2E9C-101B-9397-08002B2CF9AE}" pid="14" name="DocumentVersion">
    <vt:i4>0</vt:i4>
  </property>
  <property fmtid="{D5CDD505-2E9C-101B-9397-08002B2CF9AE}" pid="15" name="DossierNumber">
    <vt:i4>942</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31;#INT|e1edfecb-ed43-427b-bb02-d45fe6645386</vt:lpwstr>
  </property>
  <property fmtid="{D5CDD505-2E9C-101B-9397-08002B2CF9AE}" pid="19" name="DocumentSource">
    <vt:lpwstr>1;#EESC|422833ec-8d7e-4e65-8e4e-8bed07ffb729</vt:lpwstr>
  </property>
  <property fmtid="{D5CDD505-2E9C-101B-9397-08002B2CF9AE}" pid="20" name="AdoptionDate">
    <vt:filetime>2021-07-07T12:00:00Z</vt:filetime>
  </property>
  <property fmtid="{D5CDD505-2E9C-101B-9397-08002B2CF9AE}" pid="21" name="DocumentType">
    <vt:lpwstr>86;#AC|a4cc1d15-fb08-4679-ad46-e4e0cba5fe92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8" name="AvailableTranslations_0">
    <vt:lpwstr>SV|c2ed69e7-a339-43d7-8f22-d93680a92aa0;IT|0774613c-01ed-4e5d-a25d-11d2388de825;MT|7df99101-6854-4a26-b53a-b88c0da02c26;EN|f2175f21-25d7-44a3-96da-d6a61b075e1b;CS|72f9705b-0217-4fd3-bea2-cbc7ed80e26e;ES|e7a6b05b-ae16-40c8-add9-68b64b03aeba;DA|5d49c027-895</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31;#INT|e1edfecb-ed43-427b-bb02-d45fe6645386;#37;#EL|6d4f4d51-af9b-4650-94b4-4276bee85c91;#28;#ES|e7a6b05b-ae16-40c8-add9-68b64b03aeba;#25;#CS|72f9705b-0217-4fd3-bea2-cbc7ed80e26e;#58;#MT|7df99101-6854-4a26-b53a-b88c0da02c26;#19;#SK|46d9fce0-ef79-4f71-b89</vt:lpwstr>
  </property>
  <property fmtid="{D5CDD505-2E9C-101B-9397-08002B2CF9AE}" pid="32" name="Rapporteur">
    <vt:lpwstr>GERSTEIN</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2021</vt:i4>
  </property>
  <property fmtid="{D5CDD505-2E9C-101B-9397-08002B2CF9AE}" pid="36" name="FicheNumber">
    <vt:i4>8071</vt:i4>
  </property>
  <property fmtid="{D5CDD505-2E9C-101B-9397-08002B2CF9AE}" pid="37" name="DocumentLanguage">
    <vt:lpwstr>17;#NL|55c6556c-b4f4-441d-9acf-c498d4f838bd</vt:lpwstr>
  </property>
</Properties>
</file>